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5408D7" w:rsidRPr="005408D7">
        <w:rPr>
          <w:rFonts w:cs="Calibri"/>
          <w:b/>
        </w:rPr>
        <w:t>Zasady rozliczania składki zdrowotnej dla osób prowadzących działalność gospodarczą</w:t>
      </w:r>
      <w:r w:rsidR="0055085D" w:rsidRPr="00AC7C97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3B538D"/>
    <w:rsid w:val="004318AA"/>
    <w:rsid w:val="005408D7"/>
    <w:rsid w:val="0055085D"/>
    <w:rsid w:val="00852CF8"/>
    <w:rsid w:val="009F6048"/>
    <w:rsid w:val="00AC7C97"/>
    <w:rsid w:val="00CB5598"/>
    <w:rsid w:val="00DA019F"/>
    <w:rsid w:val="00EE44E4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10</cp:revision>
  <dcterms:created xsi:type="dcterms:W3CDTF">2021-08-11T08:27:00Z</dcterms:created>
  <dcterms:modified xsi:type="dcterms:W3CDTF">2024-04-26T07:11:00Z</dcterms:modified>
</cp:coreProperties>
</file>