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0622A929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AC596E" w:rsidRPr="00AC596E">
        <w:rPr>
          <w:rStyle w:val="Teksttreci2"/>
          <w:rFonts w:cstheme="minorHAnsi"/>
          <w:i/>
          <w:sz w:val="22"/>
          <w:szCs w:val="22"/>
        </w:rPr>
        <w:t>Aktywny rodzic - wsparcie rodziców w aktywności zawodowej oraz wychowaniu dziecka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729B4391" w14:textId="16A0A79A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AC596E" w:rsidRPr="00AC596E">
        <w:rPr>
          <w:rStyle w:val="Teksttreci2"/>
          <w:rFonts w:cstheme="minorHAnsi"/>
          <w:b/>
          <w:i/>
          <w:color w:val="000000"/>
          <w:sz w:val="22"/>
          <w:szCs w:val="22"/>
        </w:rPr>
        <w:t>Aktywny rodzic - wsparcie rodziców w aktywności zawodowej oraz wychowaniu dziecka</w:t>
      </w:r>
    </w:p>
    <w:p w14:paraId="497BFF39" w14:textId="77777777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85832"/>
    <w:rsid w:val="003B304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2025-07-09T11:59:00Z</dcterms:created>
  <dcterms:modified xsi:type="dcterms:W3CDTF">2025-07-09T11:59:00Z</dcterms:modified>
</cp:coreProperties>
</file>