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F0" w:rsidRPr="007538C8" w:rsidRDefault="008933FA" w:rsidP="008933FA">
      <w:pPr>
        <w:autoSpaceDE w:val="0"/>
        <w:autoSpaceDN w:val="0"/>
        <w:adjustRightInd w:val="0"/>
        <w:spacing w:after="0" w:line="360" w:lineRule="auto"/>
        <w:jc w:val="center"/>
        <w:rPr>
          <w:rFonts w:cs="A"/>
          <w:b/>
          <w:sz w:val="24"/>
          <w:szCs w:val="24"/>
        </w:rPr>
      </w:pPr>
      <w:bookmarkStart w:id="0" w:name="_GoBack"/>
      <w:bookmarkEnd w:id="0"/>
      <w:r w:rsidRPr="007538C8">
        <w:rPr>
          <w:rFonts w:cs="A"/>
          <w:b/>
          <w:sz w:val="24"/>
          <w:szCs w:val="24"/>
        </w:rPr>
        <w:t>Informacja nt. kont ubezpieczonych</w:t>
      </w:r>
    </w:p>
    <w:p w:rsidR="008933FA" w:rsidRPr="00BE3BF0" w:rsidRDefault="008933FA" w:rsidP="00BE3BF0">
      <w:pPr>
        <w:autoSpaceDE w:val="0"/>
        <w:autoSpaceDN w:val="0"/>
        <w:adjustRightInd w:val="0"/>
        <w:spacing w:after="0" w:line="360" w:lineRule="auto"/>
        <w:jc w:val="both"/>
        <w:rPr>
          <w:rFonts w:cs="A"/>
          <w:sz w:val="24"/>
          <w:szCs w:val="24"/>
        </w:rPr>
      </w:pPr>
    </w:p>
    <w:p w:rsidR="00BE3BF0" w:rsidRDefault="008933FA" w:rsidP="008933FA">
      <w:pPr>
        <w:autoSpaceDE w:val="0"/>
        <w:autoSpaceDN w:val="0"/>
        <w:adjustRightInd w:val="0"/>
        <w:spacing w:after="0" w:line="360" w:lineRule="auto"/>
        <w:jc w:val="both"/>
        <w:rPr>
          <w:rFonts w:cs="A"/>
          <w:sz w:val="24"/>
          <w:szCs w:val="24"/>
        </w:rPr>
      </w:pPr>
      <w:r w:rsidRPr="008933FA">
        <w:rPr>
          <w:rFonts w:cs="A"/>
          <w:sz w:val="24"/>
          <w:szCs w:val="24"/>
        </w:rPr>
        <w:t>Od</w:t>
      </w:r>
      <w:r w:rsidR="002C42EC">
        <w:rPr>
          <w:rFonts w:cs="A"/>
          <w:sz w:val="24"/>
          <w:szCs w:val="24"/>
        </w:rPr>
        <w:t xml:space="preserve"> 1</w:t>
      </w:r>
      <w:r w:rsidRPr="008933FA">
        <w:rPr>
          <w:rFonts w:cs="A"/>
          <w:sz w:val="24"/>
          <w:szCs w:val="24"/>
        </w:rPr>
        <w:t xml:space="preserve"> stycznia 1999 r. </w:t>
      </w:r>
      <w:r w:rsidR="00BE3BF0" w:rsidRPr="008933FA">
        <w:rPr>
          <w:rFonts w:cs="A"/>
          <w:sz w:val="24"/>
          <w:szCs w:val="24"/>
        </w:rPr>
        <w:t>Zakład</w:t>
      </w:r>
      <w:r w:rsidRPr="008933FA">
        <w:rPr>
          <w:rFonts w:cs="A"/>
          <w:sz w:val="24"/>
          <w:szCs w:val="24"/>
        </w:rPr>
        <w:t xml:space="preserve"> Ubezpieczeń Społecznych</w:t>
      </w:r>
      <w:r w:rsidR="002C42EC">
        <w:rPr>
          <w:rFonts w:cs="A"/>
          <w:sz w:val="24"/>
          <w:szCs w:val="24"/>
        </w:rPr>
        <w:t>,</w:t>
      </w:r>
      <w:r w:rsidRPr="008933FA">
        <w:rPr>
          <w:rFonts w:cs="A"/>
          <w:sz w:val="24"/>
          <w:szCs w:val="24"/>
        </w:rPr>
        <w:t xml:space="preserve"> </w:t>
      </w:r>
      <w:r w:rsidR="002C42EC">
        <w:rPr>
          <w:rFonts w:cs="A"/>
          <w:sz w:val="24"/>
          <w:szCs w:val="24"/>
        </w:rPr>
        <w:t xml:space="preserve">zgodnie z art. </w:t>
      </w:r>
      <w:r w:rsidR="002F4819">
        <w:rPr>
          <w:rFonts w:cs="A"/>
          <w:sz w:val="24"/>
          <w:szCs w:val="24"/>
        </w:rPr>
        <w:t xml:space="preserve">33 ustawy z dnia </w:t>
      </w:r>
      <w:r w:rsidR="00B02F84">
        <w:rPr>
          <w:rFonts w:cs="A"/>
          <w:sz w:val="24"/>
          <w:szCs w:val="24"/>
        </w:rPr>
        <w:t>13 </w:t>
      </w:r>
      <w:r w:rsidR="002F4819">
        <w:rPr>
          <w:rFonts w:cs="A"/>
          <w:sz w:val="24"/>
          <w:szCs w:val="24"/>
        </w:rPr>
        <w:t xml:space="preserve">października 1998 r. </w:t>
      </w:r>
      <w:r w:rsidR="00B27C5F">
        <w:rPr>
          <w:rFonts w:cs="A"/>
          <w:sz w:val="24"/>
          <w:szCs w:val="24"/>
        </w:rPr>
        <w:t xml:space="preserve">o systemie ubezpieczeń społecznych </w:t>
      </w:r>
      <w:r w:rsidR="002F4819">
        <w:rPr>
          <w:rFonts w:cs="A"/>
          <w:sz w:val="24"/>
          <w:szCs w:val="24"/>
        </w:rPr>
        <w:t>(Dz.U. z 2016 r. poz. 963)</w:t>
      </w:r>
      <w:r w:rsidR="00A5473E">
        <w:rPr>
          <w:rFonts w:cs="A"/>
          <w:sz w:val="24"/>
          <w:szCs w:val="24"/>
        </w:rPr>
        <w:t>,</w:t>
      </w:r>
      <w:r w:rsidR="002F4819">
        <w:rPr>
          <w:rFonts w:cs="A"/>
          <w:sz w:val="24"/>
          <w:szCs w:val="24"/>
        </w:rPr>
        <w:t xml:space="preserve"> </w:t>
      </w:r>
      <w:r w:rsidRPr="008933FA">
        <w:rPr>
          <w:rFonts w:cs="A"/>
          <w:sz w:val="24"/>
          <w:szCs w:val="24"/>
        </w:rPr>
        <w:t xml:space="preserve">prowadzi </w:t>
      </w:r>
      <w:r w:rsidR="00BE3BF0" w:rsidRPr="008933FA">
        <w:rPr>
          <w:rFonts w:cs="A"/>
          <w:sz w:val="24"/>
          <w:szCs w:val="24"/>
        </w:rPr>
        <w:t xml:space="preserve">konta </w:t>
      </w:r>
      <w:r w:rsidR="006D19BB">
        <w:rPr>
          <w:rFonts w:cs="A"/>
          <w:sz w:val="24"/>
          <w:szCs w:val="24"/>
        </w:rPr>
        <w:t xml:space="preserve">osób </w:t>
      </w:r>
      <w:r w:rsidR="00BE3BF0" w:rsidRPr="008933FA">
        <w:rPr>
          <w:rFonts w:cs="A"/>
          <w:sz w:val="24"/>
          <w:szCs w:val="24"/>
        </w:rPr>
        <w:t>ubezpieczonych</w:t>
      </w:r>
      <w:r w:rsidR="006D19BB">
        <w:rPr>
          <w:rFonts w:cs="A"/>
          <w:sz w:val="24"/>
          <w:szCs w:val="24"/>
        </w:rPr>
        <w:t xml:space="preserve"> w ZUS</w:t>
      </w:r>
      <w:r w:rsidR="00BE3BF0" w:rsidRPr="008933FA">
        <w:rPr>
          <w:rFonts w:cs="A"/>
          <w:sz w:val="24"/>
          <w:szCs w:val="24"/>
        </w:rPr>
        <w:t>, z których każ</w:t>
      </w:r>
      <w:r>
        <w:rPr>
          <w:rFonts w:cs="A"/>
          <w:sz w:val="24"/>
          <w:szCs w:val="24"/>
        </w:rPr>
        <w:t xml:space="preserve">de jest oznaczone </w:t>
      </w:r>
      <w:r w:rsidR="0066170C">
        <w:rPr>
          <w:rFonts w:cs="A"/>
          <w:sz w:val="24"/>
          <w:szCs w:val="24"/>
        </w:rPr>
        <w:t xml:space="preserve">co do zasady </w:t>
      </w:r>
      <w:r>
        <w:rPr>
          <w:rFonts w:cs="A"/>
          <w:sz w:val="24"/>
          <w:szCs w:val="24"/>
        </w:rPr>
        <w:t>numerem PESEL.</w:t>
      </w:r>
    </w:p>
    <w:p w:rsidR="00BE3BF0" w:rsidRDefault="00BE3BF0" w:rsidP="00BE3BF0">
      <w:pPr>
        <w:autoSpaceDE w:val="0"/>
        <w:autoSpaceDN w:val="0"/>
        <w:adjustRightInd w:val="0"/>
        <w:spacing w:after="0" w:line="360" w:lineRule="auto"/>
        <w:rPr>
          <w:rFonts w:cs="A"/>
          <w:sz w:val="24"/>
          <w:szCs w:val="24"/>
        </w:rPr>
      </w:pPr>
    </w:p>
    <w:p w:rsidR="00BE3BF0" w:rsidRPr="00BE3BF0" w:rsidRDefault="00BE3BF0" w:rsidP="00BE3BF0">
      <w:pPr>
        <w:autoSpaceDE w:val="0"/>
        <w:autoSpaceDN w:val="0"/>
        <w:adjustRightInd w:val="0"/>
        <w:spacing w:after="0" w:line="360" w:lineRule="auto"/>
        <w:rPr>
          <w:rFonts w:cs="A"/>
          <w:b/>
          <w:sz w:val="24"/>
          <w:szCs w:val="24"/>
        </w:rPr>
      </w:pPr>
      <w:r w:rsidRPr="00BE3BF0">
        <w:rPr>
          <w:rFonts w:cs="A"/>
          <w:b/>
          <w:sz w:val="24"/>
          <w:szCs w:val="24"/>
        </w:rPr>
        <w:t>Konto ubezpieczonego</w:t>
      </w:r>
    </w:p>
    <w:p w:rsidR="00BE3BF0" w:rsidRDefault="00C4673E" w:rsidP="00BE3BF0">
      <w:pPr>
        <w:spacing w:after="0"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>
        <w:rPr>
          <w:rStyle w:val="Teksttreci100"/>
          <w:rFonts w:asciiTheme="minorHAnsi" w:hAnsiTheme="minorHAnsi"/>
          <w:sz w:val="24"/>
          <w:szCs w:val="24"/>
        </w:rPr>
        <w:t>Zgodnie z art. 40 ustawy n</w:t>
      </w:r>
      <w:r w:rsidR="00BE3BF0" w:rsidRPr="00BE3BF0">
        <w:rPr>
          <w:rStyle w:val="Teksttreci100"/>
          <w:rFonts w:asciiTheme="minorHAnsi" w:hAnsiTheme="minorHAnsi"/>
          <w:sz w:val="24"/>
          <w:szCs w:val="24"/>
        </w:rPr>
        <w:t xml:space="preserve">a koncie </w:t>
      </w:r>
      <w:r w:rsidR="00C568FA">
        <w:rPr>
          <w:rStyle w:val="Teksttreci100"/>
          <w:rFonts w:asciiTheme="minorHAnsi" w:hAnsiTheme="minorHAnsi"/>
          <w:sz w:val="24"/>
          <w:szCs w:val="24"/>
        </w:rPr>
        <w:t xml:space="preserve">ubezpieczonego </w:t>
      </w:r>
      <w:r w:rsidR="00BE3BF0" w:rsidRPr="00BE3BF0">
        <w:rPr>
          <w:rStyle w:val="Teksttreci100"/>
          <w:rFonts w:asciiTheme="minorHAnsi" w:hAnsiTheme="minorHAnsi"/>
          <w:sz w:val="24"/>
          <w:szCs w:val="24"/>
        </w:rPr>
        <w:t>zapisywane są</w:t>
      </w:r>
      <w:r w:rsidR="009E669B">
        <w:rPr>
          <w:rStyle w:val="Teksttreci100"/>
          <w:rFonts w:asciiTheme="minorHAnsi" w:hAnsiTheme="minorHAnsi"/>
          <w:sz w:val="24"/>
          <w:szCs w:val="24"/>
        </w:rPr>
        <w:t xml:space="preserve"> m.in.</w:t>
      </w:r>
      <w:r w:rsidR="00BE3BF0">
        <w:rPr>
          <w:rStyle w:val="Teksttreci100"/>
          <w:rFonts w:asciiTheme="minorHAnsi" w:hAnsiTheme="minorHAnsi"/>
          <w:sz w:val="24"/>
          <w:szCs w:val="24"/>
        </w:rPr>
        <w:t>:</w:t>
      </w:r>
      <w:r w:rsidR="00BE3BF0" w:rsidRPr="00BE3BF0">
        <w:rPr>
          <w:rStyle w:val="Teksttreci100"/>
          <w:rFonts w:asciiTheme="minorHAnsi" w:hAnsiTheme="minorHAnsi"/>
          <w:sz w:val="24"/>
          <w:szCs w:val="24"/>
        </w:rPr>
        <w:t xml:space="preserve"> </w:t>
      </w:r>
    </w:p>
    <w:p w:rsidR="00BE3BF0" w:rsidRPr="006F7B1E" w:rsidRDefault="00BE3BF0" w:rsidP="00BE3BF0">
      <w:pPr>
        <w:pStyle w:val="Akapitzlist"/>
        <w:numPr>
          <w:ilvl w:val="0"/>
          <w:numId w:val="3"/>
        </w:numPr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BE3BF0">
        <w:rPr>
          <w:rStyle w:val="Teksttreci100"/>
          <w:rFonts w:asciiTheme="minorHAnsi" w:hAnsiTheme="minorHAnsi"/>
          <w:sz w:val="24"/>
          <w:szCs w:val="24"/>
        </w:rPr>
        <w:t xml:space="preserve">dane identyfikacyjne: imię i nazwisko, data urodzenia, </w:t>
      </w:r>
      <w:r w:rsidR="007851AB">
        <w:rPr>
          <w:rStyle w:val="Teksttreci100"/>
          <w:rFonts w:asciiTheme="minorHAnsi" w:hAnsiTheme="minorHAnsi"/>
          <w:sz w:val="24"/>
          <w:szCs w:val="24"/>
        </w:rPr>
        <w:t xml:space="preserve">numer </w:t>
      </w:r>
      <w:r w:rsidRPr="00BE3BF0">
        <w:rPr>
          <w:rStyle w:val="Teksttreci100"/>
          <w:rFonts w:asciiTheme="minorHAnsi" w:hAnsiTheme="minorHAnsi"/>
          <w:sz w:val="24"/>
          <w:szCs w:val="24"/>
        </w:rPr>
        <w:t>PESEL, a w razie gdy ubezpieczonemu nie nadano numeru PESEL – numer dowodu osobistego lub paszportu, dane adresowe oraz dane ewidencyjne: naz</w:t>
      </w:r>
      <w:r w:rsidR="006F7B1E">
        <w:rPr>
          <w:rStyle w:val="Teksttreci100"/>
          <w:rFonts w:asciiTheme="minorHAnsi" w:hAnsiTheme="minorHAnsi"/>
          <w:sz w:val="24"/>
          <w:szCs w:val="24"/>
        </w:rPr>
        <w:t>wisko rodowe, drugie imię, płeć</w:t>
      </w:r>
      <w:r w:rsidRPr="006F7B1E">
        <w:rPr>
          <w:rStyle w:val="Teksttreci100"/>
          <w:rFonts w:asciiTheme="minorHAnsi" w:hAnsiTheme="minorHAnsi"/>
          <w:sz w:val="24"/>
          <w:szCs w:val="24"/>
        </w:rPr>
        <w:t>, a także dane płatnika składek,</w:t>
      </w:r>
    </w:p>
    <w:p w:rsidR="00BE3BF0" w:rsidRPr="006F7B1E" w:rsidRDefault="00BE3BF0" w:rsidP="00BE3BF0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6F7B1E">
        <w:rPr>
          <w:rStyle w:val="Teksttreci100"/>
          <w:rFonts w:asciiTheme="minorHAnsi" w:hAnsiTheme="minorHAnsi"/>
          <w:sz w:val="24"/>
          <w:szCs w:val="24"/>
        </w:rPr>
        <w:t>historia ubezpiecze</w:t>
      </w:r>
      <w:r w:rsidR="003A0310" w:rsidRPr="006F7B1E">
        <w:rPr>
          <w:rStyle w:val="Teksttreci100"/>
          <w:rFonts w:asciiTheme="minorHAnsi" w:hAnsiTheme="minorHAnsi"/>
          <w:sz w:val="24"/>
          <w:szCs w:val="24"/>
        </w:rPr>
        <w:t>nia: okres i tytuł ubezpieczeń</w:t>
      </w:r>
      <w:r w:rsidRPr="006F7B1E">
        <w:rPr>
          <w:rStyle w:val="Teksttreci100"/>
          <w:rFonts w:asciiTheme="minorHAnsi" w:hAnsiTheme="minorHAnsi"/>
          <w:sz w:val="24"/>
          <w:szCs w:val="24"/>
        </w:rPr>
        <w:t xml:space="preserve">, podstawy wymiaru składek, czyli kwoty, od których wyliczone zostały składki, </w:t>
      </w:r>
    </w:p>
    <w:p w:rsidR="00A5473E" w:rsidRDefault="00BE3BF0" w:rsidP="00BE3BF0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BE3BF0">
        <w:rPr>
          <w:rStyle w:val="Teksttreci100"/>
          <w:rFonts w:asciiTheme="minorHAnsi" w:hAnsiTheme="minorHAnsi"/>
          <w:sz w:val="24"/>
          <w:szCs w:val="24"/>
        </w:rPr>
        <w:t>informacje o zwaloryzowanej wysokości składek</w:t>
      </w:r>
      <w:r w:rsidR="00B02F84">
        <w:rPr>
          <w:rStyle w:val="Teksttreci100"/>
          <w:rFonts w:asciiTheme="minorHAnsi" w:hAnsiTheme="minorHAnsi"/>
          <w:sz w:val="24"/>
          <w:szCs w:val="24"/>
        </w:rPr>
        <w:t xml:space="preserve"> na ubezpieczenie emerytalne, z </w:t>
      </w:r>
      <w:r w:rsidRPr="00BE3BF0">
        <w:rPr>
          <w:rStyle w:val="Teksttreci100"/>
          <w:rFonts w:asciiTheme="minorHAnsi" w:hAnsiTheme="minorHAnsi"/>
          <w:sz w:val="24"/>
          <w:szCs w:val="24"/>
        </w:rPr>
        <w:t>wyłączeniem składek odprowadz</w:t>
      </w:r>
      <w:r w:rsidR="006D19BB">
        <w:rPr>
          <w:rStyle w:val="Teksttreci100"/>
          <w:rFonts w:asciiTheme="minorHAnsi" w:hAnsiTheme="minorHAnsi"/>
          <w:sz w:val="24"/>
          <w:szCs w:val="24"/>
        </w:rPr>
        <w:t>anych</w:t>
      </w:r>
      <w:r w:rsidRPr="00BE3BF0">
        <w:rPr>
          <w:rStyle w:val="Teksttreci100"/>
          <w:rFonts w:asciiTheme="minorHAnsi" w:hAnsiTheme="minorHAnsi"/>
          <w:sz w:val="24"/>
          <w:szCs w:val="24"/>
        </w:rPr>
        <w:t xml:space="preserve"> do otwartego funduszu emerytalnego i zewidencjonowan</w:t>
      </w:r>
      <w:r w:rsidR="006D0A38">
        <w:rPr>
          <w:rStyle w:val="Teksttreci100"/>
          <w:rFonts w:asciiTheme="minorHAnsi" w:hAnsiTheme="minorHAnsi"/>
          <w:sz w:val="24"/>
          <w:szCs w:val="24"/>
        </w:rPr>
        <w:t>ych</w:t>
      </w:r>
      <w:r w:rsidRPr="00BE3BF0">
        <w:rPr>
          <w:rStyle w:val="Teksttreci100"/>
          <w:rFonts w:asciiTheme="minorHAnsi" w:hAnsiTheme="minorHAnsi"/>
          <w:sz w:val="24"/>
          <w:szCs w:val="24"/>
        </w:rPr>
        <w:t xml:space="preserve"> na subkoncie</w:t>
      </w:r>
      <w:r w:rsidR="00C14BEF">
        <w:rPr>
          <w:rStyle w:val="Teksttreci100"/>
          <w:rFonts w:asciiTheme="minorHAnsi" w:hAnsiTheme="minorHAnsi"/>
          <w:sz w:val="24"/>
          <w:szCs w:val="24"/>
        </w:rPr>
        <w:t xml:space="preserve">, czyli informacje o zwaloryzowanych składkach </w:t>
      </w:r>
      <w:r w:rsidR="006D19BB">
        <w:rPr>
          <w:rStyle w:val="Teksttreci100"/>
          <w:rFonts w:asciiTheme="minorHAnsi" w:hAnsiTheme="minorHAnsi"/>
          <w:sz w:val="24"/>
          <w:szCs w:val="24"/>
        </w:rPr>
        <w:t xml:space="preserve">w </w:t>
      </w:r>
      <w:r w:rsidR="00C14BEF">
        <w:rPr>
          <w:rStyle w:val="Teksttreci100"/>
          <w:rFonts w:asciiTheme="minorHAnsi" w:hAnsiTheme="minorHAnsi"/>
          <w:sz w:val="24"/>
          <w:szCs w:val="24"/>
        </w:rPr>
        <w:t>I filarze</w:t>
      </w:r>
      <w:r w:rsidRPr="00BE3BF0">
        <w:rPr>
          <w:rStyle w:val="Teksttreci100"/>
          <w:rFonts w:asciiTheme="minorHAnsi" w:hAnsiTheme="minorHAnsi"/>
          <w:sz w:val="24"/>
          <w:szCs w:val="24"/>
        </w:rPr>
        <w:t xml:space="preserve">: </w:t>
      </w:r>
    </w:p>
    <w:p w:rsidR="00A5473E" w:rsidRDefault="00BE3BF0" w:rsidP="00A5473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BE3BF0">
        <w:rPr>
          <w:rStyle w:val="Teksttreci100"/>
          <w:rFonts w:asciiTheme="minorHAnsi" w:hAnsiTheme="minorHAnsi"/>
          <w:sz w:val="24"/>
          <w:szCs w:val="24"/>
        </w:rPr>
        <w:t>należnych – w przypadku ubezpieczonych niebędących płatnikami składek</w:t>
      </w:r>
      <w:r w:rsidR="00A5473E">
        <w:rPr>
          <w:rStyle w:val="Teksttreci100"/>
          <w:rFonts w:asciiTheme="minorHAnsi" w:hAnsiTheme="minorHAnsi"/>
          <w:sz w:val="24"/>
          <w:szCs w:val="24"/>
        </w:rPr>
        <w:t xml:space="preserve"> (np. pracownika</w:t>
      </w:r>
      <w:r w:rsidR="00C14BEF">
        <w:rPr>
          <w:rStyle w:val="Teksttreci100"/>
          <w:rFonts w:asciiTheme="minorHAnsi" w:hAnsiTheme="minorHAnsi"/>
          <w:sz w:val="24"/>
          <w:szCs w:val="24"/>
        </w:rPr>
        <w:t>, zleceniobiorcy</w:t>
      </w:r>
      <w:r w:rsidR="00A5473E">
        <w:rPr>
          <w:rStyle w:val="Teksttreci100"/>
          <w:rFonts w:asciiTheme="minorHAnsi" w:hAnsiTheme="minorHAnsi"/>
          <w:sz w:val="24"/>
          <w:szCs w:val="24"/>
        </w:rPr>
        <w:t>)</w:t>
      </w:r>
      <w:r w:rsidRPr="00BE3BF0">
        <w:rPr>
          <w:rStyle w:val="Teksttreci100"/>
          <w:rFonts w:asciiTheme="minorHAnsi" w:hAnsiTheme="minorHAnsi"/>
          <w:sz w:val="24"/>
          <w:szCs w:val="24"/>
        </w:rPr>
        <w:t xml:space="preserve">, </w:t>
      </w:r>
    </w:p>
    <w:p w:rsidR="00BE3BF0" w:rsidRPr="00BE3BF0" w:rsidRDefault="00BE3BF0" w:rsidP="00A5473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BE3BF0">
        <w:rPr>
          <w:rStyle w:val="Teksttreci100"/>
          <w:rFonts w:asciiTheme="minorHAnsi" w:hAnsiTheme="minorHAnsi"/>
          <w:sz w:val="24"/>
          <w:szCs w:val="24"/>
        </w:rPr>
        <w:t xml:space="preserve">wpłaconych – w przypadku ubezpieczonych będących płatnikami składek </w:t>
      </w:r>
      <w:r w:rsidR="00A5473E">
        <w:rPr>
          <w:rStyle w:val="Teksttreci100"/>
          <w:rFonts w:asciiTheme="minorHAnsi" w:hAnsiTheme="minorHAnsi"/>
          <w:sz w:val="24"/>
          <w:szCs w:val="24"/>
        </w:rPr>
        <w:t xml:space="preserve">(np. </w:t>
      </w:r>
      <w:r w:rsidR="00494864">
        <w:rPr>
          <w:rStyle w:val="Teksttreci100"/>
          <w:rFonts w:asciiTheme="minorHAnsi" w:hAnsiTheme="minorHAnsi"/>
          <w:sz w:val="24"/>
          <w:szCs w:val="24"/>
        </w:rPr>
        <w:t xml:space="preserve">osoby </w:t>
      </w:r>
      <w:r w:rsidR="00A5473E">
        <w:rPr>
          <w:rStyle w:val="Teksttreci100"/>
          <w:rFonts w:asciiTheme="minorHAnsi" w:hAnsiTheme="minorHAnsi"/>
          <w:sz w:val="24"/>
          <w:szCs w:val="24"/>
        </w:rPr>
        <w:t>prowadząc</w:t>
      </w:r>
      <w:r w:rsidR="00494864">
        <w:rPr>
          <w:rStyle w:val="Teksttreci100"/>
          <w:rFonts w:asciiTheme="minorHAnsi" w:hAnsiTheme="minorHAnsi"/>
          <w:sz w:val="24"/>
          <w:szCs w:val="24"/>
        </w:rPr>
        <w:t>e</w:t>
      </w:r>
      <w:r w:rsidR="00A5473E">
        <w:rPr>
          <w:rStyle w:val="Teksttreci100"/>
          <w:rFonts w:asciiTheme="minorHAnsi" w:hAnsiTheme="minorHAnsi"/>
          <w:sz w:val="24"/>
          <w:szCs w:val="24"/>
        </w:rPr>
        <w:t xml:space="preserve"> działalność gospodarczą</w:t>
      </w:r>
      <w:r w:rsidR="00494864">
        <w:rPr>
          <w:rStyle w:val="Teksttreci100"/>
          <w:rFonts w:asciiTheme="minorHAnsi" w:hAnsiTheme="minorHAnsi"/>
          <w:sz w:val="24"/>
          <w:szCs w:val="24"/>
        </w:rPr>
        <w:t>, twórcy, artyści</w:t>
      </w:r>
      <w:r w:rsidR="00A5473E">
        <w:rPr>
          <w:rStyle w:val="Teksttreci100"/>
          <w:rFonts w:asciiTheme="minorHAnsi" w:hAnsiTheme="minorHAnsi"/>
          <w:sz w:val="24"/>
          <w:szCs w:val="24"/>
        </w:rPr>
        <w:t>)</w:t>
      </w:r>
      <w:r w:rsidR="004F7674" w:rsidRPr="004F7674">
        <w:rPr>
          <w:rStyle w:val="Teksttreci100"/>
          <w:rFonts w:asciiTheme="minorHAnsi" w:hAnsiTheme="minorHAnsi"/>
          <w:sz w:val="24"/>
          <w:szCs w:val="24"/>
        </w:rPr>
        <w:t xml:space="preserve"> </w:t>
      </w:r>
      <w:r w:rsidR="004F7674" w:rsidRPr="00BE3BF0">
        <w:rPr>
          <w:rStyle w:val="Teksttreci100"/>
          <w:rFonts w:asciiTheme="minorHAnsi" w:hAnsiTheme="minorHAnsi"/>
          <w:sz w:val="24"/>
          <w:szCs w:val="24"/>
        </w:rPr>
        <w:t>oraz osób współpracujących z osobami prowadzącymi pozarolniczą działalność</w:t>
      </w:r>
      <w:r w:rsidR="004F7674">
        <w:rPr>
          <w:rStyle w:val="Teksttreci100"/>
          <w:rFonts w:asciiTheme="minorHAnsi" w:hAnsiTheme="minorHAnsi"/>
          <w:sz w:val="24"/>
          <w:szCs w:val="24"/>
        </w:rPr>
        <w:t>,</w:t>
      </w:r>
    </w:p>
    <w:p w:rsidR="00330FBD" w:rsidRDefault="00253721" w:rsidP="00330FBD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>
        <w:rPr>
          <w:rStyle w:val="Teksttreci100"/>
          <w:rFonts w:asciiTheme="minorHAnsi" w:hAnsiTheme="minorHAnsi"/>
          <w:sz w:val="24"/>
          <w:szCs w:val="24"/>
        </w:rPr>
        <w:t xml:space="preserve">kwoty </w:t>
      </w:r>
      <w:r w:rsidR="00330FBD" w:rsidRPr="00BE3BF0">
        <w:rPr>
          <w:rStyle w:val="Teksttreci100"/>
          <w:rFonts w:asciiTheme="minorHAnsi" w:hAnsiTheme="minorHAnsi"/>
          <w:sz w:val="24"/>
          <w:szCs w:val="24"/>
        </w:rPr>
        <w:t xml:space="preserve"> środków zewidencjonowanych na subkoncie</w:t>
      </w:r>
      <w:r w:rsidR="00330FBD">
        <w:rPr>
          <w:rStyle w:val="Teksttreci100"/>
          <w:rFonts w:asciiTheme="minorHAnsi" w:hAnsiTheme="minorHAnsi"/>
          <w:sz w:val="24"/>
          <w:szCs w:val="24"/>
        </w:rPr>
        <w:t>,</w:t>
      </w:r>
    </w:p>
    <w:p w:rsidR="00330FBD" w:rsidRDefault="00330FBD" w:rsidP="00330FBD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BE3BF0">
        <w:rPr>
          <w:rStyle w:val="Teksttreci100"/>
          <w:rFonts w:asciiTheme="minorHAnsi" w:hAnsiTheme="minorHAnsi"/>
          <w:sz w:val="24"/>
          <w:szCs w:val="24"/>
        </w:rPr>
        <w:t>wysokości składek na ubezpieczenia emerytalne, rentowe, c</w:t>
      </w:r>
      <w:r w:rsidR="00B02F84">
        <w:rPr>
          <w:rStyle w:val="Teksttreci100"/>
          <w:rFonts w:asciiTheme="minorHAnsi" w:hAnsiTheme="minorHAnsi"/>
          <w:sz w:val="24"/>
          <w:szCs w:val="24"/>
        </w:rPr>
        <w:t>horobowe, wypadkowe i </w:t>
      </w:r>
      <w:r>
        <w:rPr>
          <w:rStyle w:val="Teksttreci100"/>
          <w:rFonts w:asciiTheme="minorHAnsi" w:hAnsiTheme="minorHAnsi"/>
          <w:sz w:val="24"/>
          <w:szCs w:val="24"/>
        </w:rPr>
        <w:t>zdrowotne,</w:t>
      </w:r>
    </w:p>
    <w:p w:rsidR="00330FBD" w:rsidRDefault="00253721" w:rsidP="00330FBD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1E75A2">
        <w:rPr>
          <w:rStyle w:val="Teksttreci100"/>
          <w:rFonts w:asciiTheme="minorHAnsi" w:hAnsiTheme="minorHAnsi"/>
          <w:sz w:val="24"/>
          <w:szCs w:val="24"/>
        </w:rPr>
        <w:t xml:space="preserve">wysokość </w:t>
      </w:r>
      <w:r>
        <w:rPr>
          <w:rStyle w:val="Teksttreci100"/>
          <w:rFonts w:asciiTheme="minorHAnsi" w:hAnsiTheme="minorHAnsi"/>
          <w:sz w:val="24"/>
          <w:szCs w:val="24"/>
        </w:rPr>
        <w:t>kapitału</w:t>
      </w:r>
      <w:r w:rsidR="00330FBD">
        <w:rPr>
          <w:rStyle w:val="Teksttreci100"/>
          <w:rFonts w:asciiTheme="minorHAnsi" w:hAnsiTheme="minorHAnsi"/>
          <w:sz w:val="24"/>
          <w:szCs w:val="24"/>
        </w:rPr>
        <w:t xml:space="preserve"> początkow</w:t>
      </w:r>
      <w:r>
        <w:rPr>
          <w:rStyle w:val="Teksttreci100"/>
          <w:rFonts w:asciiTheme="minorHAnsi" w:hAnsiTheme="minorHAnsi"/>
          <w:sz w:val="24"/>
          <w:szCs w:val="24"/>
        </w:rPr>
        <w:t>ego</w:t>
      </w:r>
      <w:r w:rsidR="00330FBD">
        <w:rPr>
          <w:rStyle w:val="Teksttreci100"/>
          <w:rFonts w:asciiTheme="minorHAnsi" w:hAnsiTheme="minorHAnsi"/>
          <w:sz w:val="24"/>
          <w:szCs w:val="24"/>
        </w:rPr>
        <w:t xml:space="preserve"> oraz zwaloryzowan</w:t>
      </w:r>
      <w:r>
        <w:rPr>
          <w:rStyle w:val="Teksttreci100"/>
          <w:rFonts w:asciiTheme="minorHAnsi" w:hAnsiTheme="minorHAnsi"/>
          <w:sz w:val="24"/>
          <w:szCs w:val="24"/>
        </w:rPr>
        <w:t>ego kapitału początkowego</w:t>
      </w:r>
      <w:r w:rsidR="00330FBD">
        <w:rPr>
          <w:rStyle w:val="Teksttreci100"/>
          <w:rFonts w:asciiTheme="minorHAnsi" w:hAnsiTheme="minorHAnsi"/>
          <w:sz w:val="24"/>
          <w:szCs w:val="24"/>
        </w:rPr>
        <w:t>,</w:t>
      </w:r>
    </w:p>
    <w:p w:rsidR="00330FBD" w:rsidRPr="00330FBD" w:rsidRDefault="00330FBD" w:rsidP="00330FBD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BE3BF0">
        <w:rPr>
          <w:rStyle w:val="Teksttreci100"/>
          <w:rFonts w:asciiTheme="minorHAnsi" w:hAnsiTheme="minorHAnsi"/>
          <w:sz w:val="24"/>
          <w:szCs w:val="24"/>
        </w:rPr>
        <w:lastRenderedPageBreak/>
        <w:t>informacje o członkostwie w otwartym funduszu emerytalnym, a także składkach należnych i przekazanych do tego funduszu,</w:t>
      </w:r>
    </w:p>
    <w:p w:rsidR="00BE3BF0" w:rsidRPr="00BE3BF0" w:rsidRDefault="00BE3BF0" w:rsidP="00BE3BF0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BE3BF0">
        <w:rPr>
          <w:rStyle w:val="Teksttreci100"/>
          <w:rFonts w:asciiTheme="minorHAnsi" w:hAnsiTheme="minorHAnsi"/>
          <w:sz w:val="24"/>
          <w:szCs w:val="24"/>
        </w:rPr>
        <w:t>informacje o małżeńskich stosunkach majątkowych oraz o osobach fizycznych, na rzecz których ma nastąpić w razie śmierci wypłata środków zewidencjonowanych na subkoncie – w przypadku osób</w:t>
      </w:r>
      <w:r w:rsidR="006D19BB">
        <w:rPr>
          <w:rStyle w:val="Teksttreci100"/>
          <w:rFonts w:asciiTheme="minorHAnsi" w:hAnsiTheme="minorHAnsi"/>
          <w:sz w:val="24"/>
          <w:szCs w:val="24"/>
        </w:rPr>
        <w:t xml:space="preserve">, które nie są </w:t>
      </w:r>
      <w:r w:rsidRPr="00BE3BF0">
        <w:rPr>
          <w:rStyle w:val="Teksttreci100"/>
          <w:rFonts w:asciiTheme="minorHAnsi" w:hAnsiTheme="minorHAnsi"/>
          <w:sz w:val="24"/>
          <w:szCs w:val="24"/>
        </w:rPr>
        <w:t>członkami OFE</w:t>
      </w:r>
      <w:r w:rsidR="006D19BB">
        <w:rPr>
          <w:rStyle w:val="Teksttreci100"/>
          <w:rFonts w:asciiTheme="minorHAnsi" w:hAnsiTheme="minorHAnsi"/>
          <w:sz w:val="24"/>
          <w:szCs w:val="24"/>
        </w:rPr>
        <w:t xml:space="preserve"> i</w:t>
      </w:r>
      <w:r w:rsidRPr="00BE3BF0">
        <w:rPr>
          <w:rStyle w:val="Teksttreci100"/>
          <w:rFonts w:asciiTheme="minorHAnsi" w:hAnsiTheme="minorHAnsi"/>
          <w:sz w:val="24"/>
          <w:szCs w:val="24"/>
        </w:rPr>
        <w:t xml:space="preserve"> dla których Zakład prowadzi subkonto,</w:t>
      </w:r>
    </w:p>
    <w:p w:rsidR="00BE3BF0" w:rsidRPr="00BE3BF0" w:rsidRDefault="00BE3BF0" w:rsidP="00BE3BF0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BE3BF0">
        <w:rPr>
          <w:rStyle w:val="Teksttreci100"/>
          <w:rFonts w:asciiTheme="minorHAnsi" w:hAnsiTheme="minorHAnsi"/>
          <w:sz w:val="24"/>
          <w:szCs w:val="24"/>
        </w:rPr>
        <w:t>informacje o osobach uposażonych – czyli wskazanych przez emeryta do otrzymania wypłaty gwarantowanej, jeżeli śmierć emeryta nastąpiła</w:t>
      </w:r>
      <w:r w:rsidR="00B02F84">
        <w:rPr>
          <w:rStyle w:val="Teksttreci100"/>
          <w:rFonts w:asciiTheme="minorHAnsi" w:hAnsiTheme="minorHAnsi"/>
          <w:sz w:val="24"/>
          <w:szCs w:val="24"/>
        </w:rPr>
        <w:t xml:space="preserve"> w okresie 3 lat od miesiąca, w </w:t>
      </w:r>
      <w:r w:rsidRPr="00BE3BF0">
        <w:rPr>
          <w:rStyle w:val="Teksttreci100"/>
          <w:rFonts w:asciiTheme="minorHAnsi" w:hAnsiTheme="minorHAnsi"/>
          <w:sz w:val="24"/>
          <w:szCs w:val="24"/>
        </w:rPr>
        <w:t>którym po raz pierwszy wypłacono emeryturę,</w:t>
      </w:r>
    </w:p>
    <w:p w:rsidR="00BE3BF0" w:rsidRPr="00BE3BF0" w:rsidRDefault="007851AB" w:rsidP="00BE3BF0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>
        <w:rPr>
          <w:rStyle w:val="Teksttreci100"/>
          <w:rFonts w:asciiTheme="minorHAnsi" w:hAnsiTheme="minorHAnsi"/>
          <w:sz w:val="24"/>
          <w:szCs w:val="24"/>
        </w:rPr>
        <w:t>informacje o oświadczeniach</w:t>
      </w:r>
      <w:r w:rsidR="00BE3BF0" w:rsidRPr="00BE3BF0">
        <w:rPr>
          <w:rStyle w:val="Teksttreci100"/>
          <w:rFonts w:asciiTheme="minorHAnsi" w:hAnsiTheme="minorHAnsi"/>
          <w:sz w:val="24"/>
          <w:szCs w:val="24"/>
        </w:rPr>
        <w:t xml:space="preserve"> o przekazywaniu składki do otwarteg</w:t>
      </w:r>
      <w:r w:rsidR="00B02752">
        <w:rPr>
          <w:rStyle w:val="Teksttreci100"/>
          <w:rFonts w:asciiTheme="minorHAnsi" w:hAnsiTheme="minorHAnsi"/>
          <w:sz w:val="24"/>
          <w:szCs w:val="24"/>
        </w:rPr>
        <w:t>o funduszu emerytalnego albo</w:t>
      </w:r>
      <w:r w:rsidR="00330FBD">
        <w:rPr>
          <w:rStyle w:val="Teksttreci100"/>
          <w:rFonts w:asciiTheme="minorHAnsi" w:hAnsiTheme="minorHAnsi"/>
          <w:sz w:val="24"/>
          <w:szCs w:val="24"/>
        </w:rPr>
        <w:t xml:space="preserve"> zewidencjonowaniu na subkoncie.</w:t>
      </w:r>
    </w:p>
    <w:p w:rsidR="009E669B" w:rsidRDefault="009E669B" w:rsidP="006C174B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</w:p>
    <w:p w:rsidR="006C174B" w:rsidRDefault="006D19BB" w:rsidP="006C174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indywidualnych kont osób ubezpieczonych jest możliwe dzięki Kompleksowemu </w:t>
      </w:r>
      <w:r w:rsidR="006C174B" w:rsidRPr="006D19BB">
        <w:rPr>
          <w:sz w:val="24"/>
          <w:szCs w:val="24"/>
        </w:rPr>
        <w:t>System</w:t>
      </w:r>
      <w:r>
        <w:rPr>
          <w:sz w:val="24"/>
          <w:szCs w:val="24"/>
        </w:rPr>
        <w:t xml:space="preserve">owi </w:t>
      </w:r>
      <w:r w:rsidR="006C174B" w:rsidRPr="006D19BB">
        <w:rPr>
          <w:sz w:val="24"/>
          <w:szCs w:val="24"/>
        </w:rPr>
        <w:t>Informatyczn</w:t>
      </w:r>
      <w:r>
        <w:rPr>
          <w:sz w:val="24"/>
          <w:szCs w:val="24"/>
        </w:rPr>
        <w:t>emu</w:t>
      </w:r>
      <w:r w:rsidR="006C174B" w:rsidRPr="006D19BB">
        <w:rPr>
          <w:sz w:val="24"/>
          <w:szCs w:val="24"/>
        </w:rPr>
        <w:t xml:space="preserve"> ZUS</w:t>
      </w:r>
      <w:r w:rsidR="006C174B" w:rsidRPr="006C174B">
        <w:rPr>
          <w:sz w:val="24"/>
          <w:szCs w:val="24"/>
        </w:rPr>
        <w:t xml:space="preserve"> </w:t>
      </w:r>
      <w:r w:rsidR="006C174B">
        <w:rPr>
          <w:sz w:val="24"/>
          <w:szCs w:val="24"/>
        </w:rPr>
        <w:t>(KSI ZUS)</w:t>
      </w:r>
      <w:r>
        <w:rPr>
          <w:sz w:val="24"/>
          <w:szCs w:val="24"/>
        </w:rPr>
        <w:t>. System ten</w:t>
      </w:r>
      <w:r w:rsidR="006C174B">
        <w:rPr>
          <w:sz w:val="24"/>
          <w:szCs w:val="24"/>
        </w:rPr>
        <w:t xml:space="preserve"> </w:t>
      </w:r>
      <w:r w:rsidR="006C174B" w:rsidRPr="006C174B">
        <w:rPr>
          <w:sz w:val="24"/>
          <w:szCs w:val="24"/>
        </w:rPr>
        <w:t>jednoznaczn</w:t>
      </w:r>
      <w:r w:rsidR="006D0A38">
        <w:rPr>
          <w:sz w:val="24"/>
          <w:szCs w:val="24"/>
        </w:rPr>
        <w:t>ie</w:t>
      </w:r>
      <w:r w:rsidR="006C174B" w:rsidRPr="006C174B">
        <w:rPr>
          <w:sz w:val="24"/>
          <w:szCs w:val="24"/>
        </w:rPr>
        <w:t xml:space="preserve"> identyfik</w:t>
      </w:r>
      <w:r w:rsidR="006D0A38">
        <w:rPr>
          <w:sz w:val="24"/>
          <w:szCs w:val="24"/>
        </w:rPr>
        <w:t>uje</w:t>
      </w:r>
      <w:r w:rsidR="006C174B" w:rsidRPr="006C174B">
        <w:rPr>
          <w:sz w:val="24"/>
          <w:szCs w:val="24"/>
        </w:rPr>
        <w:t xml:space="preserve"> </w:t>
      </w:r>
      <w:r w:rsidR="006C174B">
        <w:rPr>
          <w:sz w:val="24"/>
          <w:szCs w:val="24"/>
        </w:rPr>
        <w:t xml:space="preserve">każdego </w:t>
      </w:r>
      <w:r w:rsidR="006C174B" w:rsidRPr="006C174B">
        <w:rPr>
          <w:sz w:val="24"/>
          <w:szCs w:val="24"/>
        </w:rPr>
        <w:t>ubezpieczonego</w:t>
      </w:r>
      <w:r w:rsidR="006C174B">
        <w:rPr>
          <w:sz w:val="24"/>
          <w:szCs w:val="24"/>
        </w:rPr>
        <w:t>.</w:t>
      </w:r>
      <w:r w:rsidR="006C174B" w:rsidRPr="006C174B">
        <w:rPr>
          <w:sz w:val="24"/>
          <w:szCs w:val="24"/>
        </w:rPr>
        <w:t xml:space="preserve"> </w:t>
      </w:r>
      <w:r w:rsidR="006C174B">
        <w:rPr>
          <w:sz w:val="24"/>
          <w:szCs w:val="24"/>
        </w:rPr>
        <w:t xml:space="preserve">Pozwala </w:t>
      </w:r>
      <w:r w:rsidR="006D0A38">
        <w:rPr>
          <w:sz w:val="24"/>
          <w:szCs w:val="24"/>
        </w:rPr>
        <w:t xml:space="preserve">ponadto </w:t>
      </w:r>
      <w:r w:rsidR="006C174B">
        <w:rPr>
          <w:sz w:val="24"/>
          <w:szCs w:val="24"/>
        </w:rPr>
        <w:t>na</w:t>
      </w:r>
      <w:r w:rsidR="006C174B" w:rsidRPr="006C174B">
        <w:rPr>
          <w:sz w:val="24"/>
          <w:szCs w:val="24"/>
        </w:rPr>
        <w:t xml:space="preserve"> pozyskani</w:t>
      </w:r>
      <w:r w:rsidR="006C174B">
        <w:rPr>
          <w:sz w:val="24"/>
          <w:szCs w:val="24"/>
        </w:rPr>
        <w:t>e</w:t>
      </w:r>
      <w:r w:rsidR="006C174B" w:rsidRPr="006C174B">
        <w:rPr>
          <w:sz w:val="24"/>
          <w:szCs w:val="24"/>
        </w:rPr>
        <w:t xml:space="preserve"> dowolnych danych na temat struktury kont ubezpieczonych i płatników </w:t>
      </w:r>
      <w:r w:rsidR="006C174B">
        <w:rPr>
          <w:sz w:val="24"/>
          <w:szCs w:val="24"/>
        </w:rPr>
        <w:t xml:space="preserve">składek </w:t>
      </w:r>
      <w:r w:rsidR="006C174B" w:rsidRPr="006C174B">
        <w:rPr>
          <w:sz w:val="24"/>
          <w:szCs w:val="24"/>
        </w:rPr>
        <w:t xml:space="preserve">oraz danych na nich zapisanych z </w:t>
      </w:r>
      <w:r w:rsidR="006C174B">
        <w:rPr>
          <w:sz w:val="24"/>
          <w:szCs w:val="24"/>
        </w:rPr>
        <w:t xml:space="preserve">dokładnością </w:t>
      </w:r>
      <w:r w:rsidR="006C174B" w:rsidRPr="006C174B">
        <w:rPr>
          <w:sz w:val="24"/>
          <w:szCs w:val="24"/>
        </w:rPr>
        <w:t xml:space="preserve">odpowiadającą </w:t>
      </w:r>
      <w:r w:rsidR="006D0A38">
        <w:rPr>
          <w:sz w:val="24"/>
          <w:szCs w:val="24"/>
        </w:rPr>
        <w:t>informacji w</w:t>
      </w:r>
      <w:r w:rsidR="006D0A38" w:rsidRPr="006C174B">
        <w:rPr>
          <w:sz w:val="24"/>
          <w:szCs w:val="24"/>
        </w:rPr>
        <w:t xml:space="preserve"> </w:t>
      </w:r>
      <w:r w:rsidR="006C174B" w:rsidRPr="006C174B">
        <w:rPr>
          <w:sz w:val="24"/>
          <w:szCs w:val="24"/>
        </w:rPr>
        <w:t>dokument</w:t>
      </w:r>
      <w:r w:rsidR="006D0A38">
        <w:rPr>
          <w:sz w:val="24"/>
          <w:szCs w:val="24"/>
        </w:rPr>
        <w:t>ach</w:t>
      </w:r>
      <w:r w:rsidR="006C174B" w:rsidRPr="006C174B">
        <w:rPr>
          <w:sz w:val="24"/>
          <w:szCs w:val="24"/>
        </w:rPr>
        <w:t xml:space="preserve"> zgłoszeniowych i rozliczeniowych. </w:t>
      </w:r>
    </w:p>
    <w:p w:rsidR="008145BE" w:rsidRPr="00660FF4" w:rsidRDefault="00660FF4" w:rsidP="00660FF4">
      <w:pPr>
        <w:autoSpaceDE w:val="0"/>
        <w:autoSpaceDN w:val="0"/>
        <w:adjustRightInd w:val="0"/>
        <w:spacing w:after="0" w:line="360" w:lineRule="auto"/>
        <w:jc w:val="both"/>
        <w:rPr>
          <w:rFonts w:cs="A"/>
          <w:sz w:val="24"/>
          <w:szCs w:val="24"/>
        </w:rPr>
      </w:pPr>
      <w:r>
        <w:rPr>
          <w:rFonts w:cs="A"/>
          <w:bCs/>
          <w:sz w:val="24"/>
          <w:szCs w:val="24"/>
        </w:rPr>
        <w:t>Art. 34 ustawy nakłada na Zakład obowiązek</w:t>
      </w:r>
      <w:r w:rsidRPr="008933FA">
        <w:rPr>
          <w:rFonts w:cs="A"/>
          <w:sz w:val="24"/>
          <w:szCs w:val="24"/>
        </w:rPr>
        <w:t xml:space="preserve"> </w:t>
      </w:r>
      <w:r>
        <w:rPr>
          <w:rFonts w:cs="A"/>
          <w:sz w:val="24"/>
          <w:szCs w:val="24"/>
        </w:rPr>
        <w:t>zapewnienia</w:t>
      </w:r>
      <w:r w:rsidRPr="008933FA">
        <w:rPr>
          <w:rFonts w:cs="A"/>
          <w:sz w:val="24"/>
          <w:szCs w:val="24"/>
        </w:rPr>
        <w:t xml:space="preserve"> rzetelności i kompletności informacji gromadzonych na kontach ubezpieczonych i na kontach płatników składek.</w:t>
      </w:r>
      <w:r>
        <w:rPr>
          <w:rFonts w:cs="A"/>
          <w:sz w:val="24"/>
          <w:szCs w:val="24"/>
        </w:rPr>
        <w:t xml:space="preserve"> W celu realizacji tego przepisu, pracownicy Zakładu wyjaśniają i korygują </w:t>
      </w:r>
      <w:r>
        <w:rPr>
          <w:sz w:val="24"/>
          <w:szCs w:val="24"/>
        </w:rPr>
        <w:t>n</w:t>
      </w:r>
      <w:r w:rsidR="008145BE">
        <w:rPr>
          <w:sz w:val="24"/>
          <w:szCs w:val="24"/>
        </w:rPr>
        <w:t>ieprawidłowości na kontach ubezpieczonych</w:t>
      </w:r>
      <w:r>
        <w:rPr>
          <w:sz w:val="24"/>
          <w:szCs w:val="24"/>
        </w:rPr>
        <w:t>.</w:t>
      </w:r>
    </w:p>
    <w:p w:rsidR="00C22BD1" w:rsidRDefault="00C22BD1" w:rsidP="00C22BD1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</w:p>
    <w:p w:rsidR="00C22BD1" w:rsidRPr="00C22BD1" w:rsidRDefault="00C22BD1" w:rsidP="00C22BD1">
      <w:pPr>
        <w:tabs>
          <w:tab w:val="left" w:pos="426"/>
        </w:tabs>
        <w:spacing w:after="0" w:line="360" w:lineRule="auto"/>
        <w:jc w:val="both"/>
        <w:rPr>
          <w:b/>
          <w:sz w:val="24"/>
          <w:szCs w:val="24"/>
        </w:rPr>
      </w:pPr>
      <w:r w:rsidRPr="00C22BD1">
        <w:rPr>
          <w:b/>
          <w:sz w:val="24"/>
          <w:szCs w:val="24"/>
        </w:rPr>
        <w:t>Konto ubezpieczonego w liczbach</w:t>
      </w:r>
    </w:p>
    <w:p w:rsidR="000161F5" w:rsidRDefault="006200A3" w:rsidP="00C22BD1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1999 r. do sierpnia 2016 r.</w:t>
      </w:r>
      <w:r w:rsidR="00C22BD1" w:rsidRPr="000161F5">
        <w:rPr>
          <w:sz w:val="24"/>
          <w:szCs w:val="24"/>
        </w:rPr>
        <w:t xml:space="preserve">  zostało założonych ponad 32 mln kont ubezpieczonych. </w:t>
      </w:r>
    </w:p>
    <w:p w:rsidR="003B13B5" w:rsidRPr="000161F5" w:rsidRDefault="003B13B5" w:rsidP="00C22BD1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0161F5">
        <w:rPr>
          <w:sz w:val="24"/>
          <w:szCs w:val="24"/>
        </w:rPr>
        <w:t xml:space="preserve">Liczba ta nie dotyczy </w:t>
      </w:r>
      <w:r w:rsidR="006D0A38">
        <w:rPr>
          <w:sz w:val="24"/>
          <w:szCs w:val="24"/>
        </w:rPr>
        <w:t>wyłącznie</w:t>
      </w:r>
      <w:r w:rsidR="006D0A38" w:rsidRPr="000161F5">
        <w:rPr>
          <w:sz w:val="24"/>
          <w:szCs w:val="24"/>
        </w:rPr>
        <w:t xml:space="preserve"> </w:t>
      </w:r>
      <w:r w:rsidRPr="000161F5">
        <w:rPr>
          <w:sz w:val="24"/>
          <w:szCs w:val="24"/>
        </w:rPr>
        <w:t>kont osób dziś aktywnych zawodowo. Uwzględnia też osoby</w:t>
      </w:r>
      <w:r w:rsidR="006200A3">
        <w:rPr>
          <w:sz w:val="24"/>
          <w:szCs w:val="24"/>
        </w:rPr>
        <w:t>,</w:t>
      </w:r>
      <w:r w:rsidRPr="000161F5">
        <w:rPr>
          <w:sz w:val="24"/>
          <w:szCs w:val="24"/>
        </w:rPr>
        <w:t xml:space="preserve"> które</w:t>
      </w:r>
      <w:r w:rsidR="000161F5">
        <w:rPr>
          <w:sz w:val="24"/>
          <w:szCs w:val="24"/>
        </w:rPr>
        <w:t xml:space="preserve"> m.in.</w:t>
      </w:r>
      <w:r w:rsidRPr="000161F5">
        <w:rPr>
          <w:sz w:val="24"/>
          <w:szCs w:val="24"/>
        </w:rPr>
        <w:t>:</w:t>
      </w:r>
    </w:p>
    <w:p w:rsidR="003B13B5" w:rsidRPr="000161F5" w:rsidRDefault="003B13B5" w:rsidP="003B13B5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Theme="minorHAnsi" w:hAnsiTheme="minorHAnsi"/>
        </w:rPr>
      </w:pPr>
      <w:r w:rsidRPr="000161F5">
        <w:rPr>
          <w:rFonts w:asciiTheme="minorHAnsi" w:hAnsiTheme="minorHAnsi"/>
        </w:rPr>
        <w:t>mają przyznane prawo do świadczeń emerytalno-rentowych</w:t>
      </w:r>
      <w:r w:rsidR="00600D6C">
        <w:rPr>
          <w:rFonts w:asciiTheme="minorHAnsi" w:hAnsiTheme="minorHAnsi"/>
        </w:rPr>
        <w:t xml:space="preserve"> (tabela 2)</w:t>
      </w:r>
      <w:r w:rsidRPr="000161F5">
        <w:rPr>
          <w:rFonts w:asciiTheme="minorHAnsi" w:hAnsiTheme="minorHAnsi"/>
        </w:rPr>
        <w:t>,</w:t>
      </w:r>
    </w:p>
    <w:p w:rsidR="00C22BD1" w:rsidRDefault="003B13B5" w:rsidP="003B13B5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Theme="minorHAnsi" w:hAnsiTheme="minorHAnsi"/>
        </w:rPr>
      </w:pPr>
      <w:r w:rsidRPr="000161F5">
        <w:rPr>
          <w:rFonts w:asciiTheme="minorHAnsi" w:hAnsiTheme="minorHAnsi"/>
        </w:rPr>
        <w:t xml:space="preserve"> zakończyły aktywność zawodow</w:t>
      </w:r>
      <w:r w:rsidR="001E75A2">
        <w:rPr>
          <w:rFonts w:asciiTheme="minorHAnsi" w:hAnsiTheme="minorHAnsi"/>
        </w:rPr>
        <w:t>ą w kraju w związku z emigracją</w:t>
      </w:r>
    </w:p>
    <w:p w:rsidR="001E75A2" w:rsidRPr="001E75A2" w:rsidRDefault="001E75A2" w:rsidP="001E75A2">
      <w:pPr>
        <w:pStyle w:val="Akapitzlist"/>
        <w:tabs>
          <w:tab w:val="left" w:pos="426"/>
        </w:tabs>
        <w:spacing w:line="360" w:lineRule="auto"/>
        <w:ind w:left="774"/>
        <w:jc w:val="both"/>
        <w:rPr>
          <w:rFonts w:asciiTheme="minorHAnsi" w:eastAsia="Book Antiqua" w:hAnsiTheme="minorHAnsi" w:cs="Book Antiqua"/>
        </w:rPr>
      </w:pPr>
      <w:r>
        <w:rPr>
          <w:rStyle w:val="Teksttreci100"/>
          <w:rFonts w:asciiTheme="minorHAnsi" w:hAnsiTheme="minorHAnsi"/>
          <w:sz w:val="24"/>
          <w:szCs w:val="24"/>
        </w:rPr>
        <w:t>(n</w:t>
      </w:r>
      <w:r w:rsidRPr="001E75A2">
        <w:rPr>
          <w:rStyle w:val="Teksttreci100"/>
          <w:rFonts w:asciiTheme="minorHAnsi" w:hAnsiTheme="minorHAnsi"/>
          <w:sz w:val="24"/>
          <w:szCs w:val="24"/>
        </w:rPr>
        <w:t>a podstawie danych Głównego Urzędu Statystycznego, liczba osób przebywających za granicą na koniec 2</w:t>
      </w:r>
      <w:r w:rsidR="00F454A7">
        <w:rPr>
          <w:rStyle w:val="Teksttreci100"/>
          <w:rFonts w:asciiTheme="minorHAnsi" w:hAnsiTheme="minorHAnsi"/>
          <w:sz w:val="24"/>
          <w:szCs w:val="24"/>
        </w:rPr>
        <w:t>014 r. wyniosła 2,3 m</w:t>
      </w:r>
      <w:r w:rsidR="00D11A89">
        <w:rPr>
          <w:rStyle w:val="Teksttreci100"/>
          <w:rFonts w:asciiTheme="minorHAnsi" w:hAnsiTheme="minorHAnsi"/>
          <w:sz w:val="24"/>
          <w:szCs w:val="24"/>
        </w:rPr>
        <w:t>l</w:t>
      </w:r>
      <w:r w:rsidR="00F454A7">
        <w:rPr>
          <w:rStyle w:val="Teksttreci100"/>
          <w:rFonts w:asciiTheme="minorHAnsi" w:hAnsiTheme="minorHAnsi"/>
          <w:sz w:val="24"/>
          <w:szCs w:val="24"/>
        </w:rPr>
        <w:t>n</w:t>
      </w:r>
      <w:r>
        <w:rPr>
          <w:rStyle w:val="Teksttreci100"/>
          <w:rFonts w:asciiTheme="minorHAnsi" w:hAnsiTheme="minorHAnsi"/>
          <w:sz w:val="24"/>
          <w:szCs w:val="24"/>
        </w:rPr>
        <w:t xml:space="preserve"> osób),</w:t>
      </w:r>
    </w:p>
    <w:p w:rsidR="003B13B5" w:rsidRDefault="000161F5" w:rsidP="003B13B5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nie były aktywne zawodowo po 1998 r. i na koncie zapisan</w:t>
      </w:r>
      <w:r w:rsidR="00821F9E">
        <w:rPr>
          <w:rFonts w:asciiTheme="minorHAnsi" w:hAnsiTheme="minorHAnsi"/>
        </w:rPr>
        <w:t xml:space="preserve">y </w:t>
      </w:r>
      <w:r w:rsidR="009A4D2C">
        <w:rPr>
          <w:rFonts w:asciiTheme="minorHAnsi" w:hAnsiTheme="minorHAnsi"/>
        </w:rPr>
        <w:t>mają</w:t>
      </w:r>
      <w:r w:rsidR="00821F9E">
        <w:rPr>
          <w:rFonts w:asciiTheme="minorHAnsi" w:hAnsiTheme="minorHAnsi"/>
        </w:rPr>
        <w:t xml:space="preserve"> tylko kapitał początkowy.</w:t>
      </w:r>
    </w:p>
    <w:p w:rsidR="00821F9E" w:rsidRDefault="00821F9E" w:rsidP="00821F9E">
      <w:p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821F9E">
        <w:rPr>
          <w:sz w:val="24"/>
          <w:szCs w:val="24"/>
        </w:rPr>
        <w:t>Zakład pr</w:t>
      </w:r>
      <w:r>
        <w:rPr>
          <w:sz w:val="24"/>
          <w:szCs w:val="24"/>
        </w:rPr>
        <w:t xml:space="preserve">owadzi też konta osób zmarłych, w celu </w:t>
      </w:r>
      <w:r w:rsidR="009A4D2C">
        <w:rPr>
          <w:sz w:val="24"/>
          <w:szCs w:val="24"/>
        </w:rPr>
        <w:t xml:space="preserve">możliwości </w:t>
      </w:r>
      <w:r>
        <w:rPr>
          <w:sz w:val="24"/>
          <w:szCs w:val="24"/>
        </w:rPr>
        <w:t xml:space="preserve">realizacji uprawnień do uzyskania renty rodzinnej. </w:t>
      </w:r>
      <w:r>
        <w:rPr>
          <w:rStyle w:val="Teksttreci100"/>
          <w:rFonts w:asciiTheme="minorHAnsi" w:hAnsiTheme="minorHAnsi"/>
          <w:sz w:val="24"/>
          <w:szCs w:val="24"/>
        </w:rPr>
        <w:t>Liczba kont ubezpieczonych, na których zapisana jest informacja o zgonie osoby ubezpieczonego wynosi 3,5 mln.</w:t>
      </w:r>
    </w:p>
    <w:p w:rsidR="00567DDB" w:rsidRDefault="006200A3" w:rsidP="00567DDB">
      <w:pPr>
        <w:tabs>
          <w:tab w:val="left" w:pos="426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>Dziś l</w:t>
      </w:r>
      <w:r w:rsidR="005D05DB">
        <w:rPr>
          <w:sz w:val="24"/>
          <w:szCs w:val="24"/>
        </w:rPr>
        <w:t xml:space="preserve">iczba </w:t>
      </w:r>
      <w:r w:rsidR="00B13309">
        <w:rPr>
          <w:sz w:val="24"/>
          <w:szCs w:val="24"/>
        </w:rPr>
        <w:t xml:space="preserve">aktywnych kont </w:t>
      </w:r>
      <w:r>
        <w:rPr>
          <w:sz w:val="24"/>
          <w:szCs w:val="24"/>
        </w:rPr>
        <w:t>ubezpieczonych</w:t>
      </w:r>
      <w:r w:rsidR="005D05DB">
        <w:rPr>
          <w:sz w:val="24"/>
          <w:szCs w:val="24"/>
        </w:rPr>
        <w:t xml:space="preserve">, </w:t>
      </w:r>
      <w:r w:rsidR="00B13309">
        <w:rPr>
          <w:sz w:val="24"/>
          <w:szCs w:val="24"/>
        </w:rPr>
        <w:t>rozumianych jako konta na które</w:t>
      </w:r>
      <w:r w:rsidR="005D05DB">
        <w:rPr>
          <w:sz w:val="24"/>
          <w:szCs w:val="24"/>
        </w:rPr>
        <w:t xml:space="preserve"> wpłynęły dokumenty ubezpieczeniowe za </w:t>
      </w:r>
      <w:r w:rsidR="005D05DB" w:rsidRPr="005D05DB">
        <w:rPr>
          <w:sz w:val="24"/>
          <w:szCs w:val="24"/>
        </w:rPr>
        <w:t xml:space="preserve">maj 2016 r. wynosi </w:t>
      </w:r>
      <w:r w:rsidR="005D05DB" w:rsidRPr="005D05D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16 871</w:t>
      </w:r>
      <w:r w:rsidR="005D05D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</w:t>
      </w:r>
      <w:r w:rsidR="005D05DB" w:rsidRPr="005D05D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351</w:t>
      </w:r>
      <w:r w:rsidR="005D05D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</w:p>
    <w:p w:rsidR="006200A3" w:rsidRDefault="006200A3" w:rsidP="00567DDB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 prze</w:t>
      </w:r>
      <w:r w:rsidR="00B0275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strzeni ostatnich lat, liczba ubezpieczonych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kształtuje się następująco</w:t>
      </w:r>
      <w:r w:rsidR="00A672C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(tabela 1):</w:t>
      </w:r>
    </w:p>
    <w:p w:rsidR="00D71768" w:rsidRPr="00C22BD1" w:rsidRDefault="00C22BD1" w:rsidP="00D71768">
      <w:pPr>
        <w:autoSpaceDE w:val="0"/>
        <w:autoSpaceDN w:val="0"/>
        <w:adjustRightInd w:val="0"/>
        <w:spacing w:after="0" w:line="360" w:lineRule="auto"/>
        <w:jc w:val="both"/>
        <w:rPr>
          <w:rFonts w:cs="A"/>
          <w:b/>
          <w:sz w:val="24"/>
          <w:szCs w:val="24"/>
        </w:rPr>
      </w:pPr>
      <w:r w:rsidRPr="00C22BD1">
        <w:rPr>
          <w:rFonts w:cs="A"/>
          <w:b/>
          <w:sz w:val="24"/>
          <w:szCs w:val="24"/>
        </w:rPr>
        <w:t xml:space="preserve">Tabela 1. </w:t>
      </w:r>
      <w:r w:rsidR="00D71768" w:rsidRPr="00C22BD1">
        <w:rPr>
          <w:rFonts w:cs="A"/>
          <w:b/>
          <w:sz w:val="24"/>
          <w:szCs w:val="24"/>
        </w:rPr>
        <w:t>Liczba ubezpieczonych w latach 2004-2015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17"/>
        <w:gridCol w:w="4394"/>
      </w:tblGrid>
      <w:tr w:rsidR="00EE4813" w:rsidRPr="00EE4813" w:rsidTr="00EE4813">
        <w:trPr>
          <w:trHeight w:val="781"/>
        </w:trPr>
        <w:tc>
          <w:tcPr>
            <w:tcW w:w="93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4813" w:rsidRPr="00EE4813" w:rsidRDefault="00EE4813" w:rsidP="006200A3">
            <w:pPr>
              <w:spacing w:after="0" w:line="240" w:lineRule="auto"/>
              <w:jc w:val="center"/>
              <w:rPr>
                <w:rFonts w:ascii="Lato Bold" w:eastAsia="Times New Roman" w:hAnsi="Lato Bol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4813">
              <w:rPr>
                <w:rFonts w:ascii="Lato Bold" w:eastAsia="Times New Roman" w:hAnsi="Lato Bold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ubezpieczonych</w:t>
            </w:r>
            <w:r>
              <w:rPr>
                <w:rFonts w:ascii="Lato Bold" w:eastAsia="Times New Roman" w:hAnsi="Lato Bold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E4813">
              <w:rPr>
                <w:rFonts w:ascii="Lato Bold" w:eastAsia="Times New Roman" w:hAnsi="Lato Bold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a)</w:t>
            </w:r>
            <w:r w:rsidRPr="00EE4813">
              <w:rPr>
                <w:rFonts w:ascii="Lato Bold" w:eastAsia="Times New Roman" w:hAnsi="Lato Bold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 latach 2004 – 2015 </w:t>
            </w:r>
            <w:r w:rsidRPr="00EE4813">
              <w:rPr>
                <w:rFonts w:ascii="Lato Bold" w:eastAsia="Times New Roman" w:hAnsi="Lato Bold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– </w:t>
            </w:r>
            <w:r w:rsidRPr="006200A3">
              <w:rPr>
                <w:rFonts w:ascii="Lato Bold" w:eastAsia="Times New Roman" w:hAnsi="Lato Bold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stan </w:t>
            </w:r>
            <w:r w:rsidR="006200A3" w:rsidRPr="006200A3">
              <w:rPr>
                <w:rFonts w:ascii="Lato Bold" w:eastAsia="Times New Roman" w:hAnsi="Lato Bold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na grudzień</w:t>
            </w:r>
          </w:p>
        </w:tc>
      </w:tr>
      <w:tr w:rsidR="00EE4813" w:rsidRPr="00EE4813" w:rsidTr="00EE4813">
        <w:trPr>
          <w:trHeight w:val="525"/>
        </w:trPr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Lata</w:t>
            </w:r>
          </w:p>
        </w:tc>
        <w:tc>
          <w:tcPr>
            <w:tcW w:w="8411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Ubezpieczeni</w:t>
            </w:r>
          </w:p>
        </w:tc>
      </w:tr>
      <w:tr w:rsidR="00EE4813" w:rsidRPr="00EE4813" w:rsidTr="00EE4813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rPr>
                <w:rFonts w:ascii="Lato Light" w:eastAsia="Times New Roman" w:hAnsi="Lat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i/>
                <w:iCs/>
                <w:color w:val="000000"/>
                <w:sz w:val="20"/>
                <w:szCs w:val="20"/>
                <w:lang w:eastAsia="pl-PL"/>
              </w:rPr>
              <w:t>w tys.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i/>
                <w:iCs/>
                <w:color w:val="000000"/>
                <w:sz w:val="20"/>
                <w:szCs w:val="20"/>
                <w:lang w:eastAsia="pl-PL"/>
              </w:rPr>
              <w:t>okres poprzedni = 100</w:t>
            </w:r>
          </w:p>
        </w:tc>
      </w:tr>
      <w:tr w:rsidR="00EE4813" w:rsidRPr="00EE4813" w:rsidTr="00EE481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12 857,4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100,9</w:t>
            </w:r>
          </w:p>
        </w:tc>
      </w:tr>
      <w:tr w:rsidR="00EE4813" w:rsidRPr="00EE4813" w:rsidTr="00EE481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13 130,9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102,1</w:t>
            </w:r>
          </w:p>
        </w:tc>
      </w:tr>
      <w:tr w:rsidR="00EE4813" w:rsidRPr="00EE4813" w:rsidTr="00EE481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13 354,1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101,7</w:t>
            </w:r>
          </w:p>
        </w:tc>
      </w:tr>
      <w:tr w:rsidR="00EE4813" w:rsidRPr="00EE4813" w:rsidTr="00EE481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14 074,5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105,4</w:t>
            </w:r>
          </w:p>
        </w:tc>
      </w:tr>
      <w:tr w:rsidR="00EE4813" w:rsidRPr="00EE4813" w:rsidTr="00EE481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14 512,7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103,1</w:t>
            </w:r>
          </w:p>
        </w:tc>
      </w:tr>
      <w:tr w:rsidR="00EE4813" w:rsidRPr="00EE4813" w:rsidTr="00EE481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14 535,0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100,2</w:t>
            </w:r>
          </w:p>
        </w:tc>
      </w:tr>
      <w:tr w:rsidR="00EE4813" w:rsidRPr="00EE4813" w:rsidTr="00EE481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14 656,5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100,8</w:t>
            </w:r>
          </w:p>
        </w:tc>
      </w:tr>
      <w:tr w:rsidR="00EE4813" w:rsidRPr="00EE4813" w:rsidTr="00EE481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14 666,1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100,1</w:t>
            </w:r>
          </w:p>
        </w:tc>
      </w:tr>
      <w:tr w:rsidR="00EE4813" w:rsidRPr="00EE4813" w:rsidTr="00EE481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14 603,9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99,6</w:t>
            </w:r>
          </w:p>
        </w:tc>
      </w:tr>
      <w:tr w:rsidR="00EE4813" w:rsidRPr="00EE4813" w:rsidTr="00EE481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14 519,8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99,4</w:t>
            </w:r>
          </w:p>
        </w:tc>
      </w:tr>
      <w:tr w:rsidR="00EE4813" w:rsidRPr="00EE4813" w:rsidTr="00EE481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14 525,0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EE4813" w:rsidRPr="00EE4813" w:rsidTr="00EE4813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14 821,5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E4BC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102,0</w:t>
            </w:r>
          </w:p>
        </w:tc>
      </w:tr>
      <w:tr w:rsidR="00EE4813" w:rsidRPr="00EE4813" w:rsidTr="00EE4813">
        <w:trPr>
          <w:trHeight w:val="31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13" w:rsidRPr="006200A3" w:rsidRDefault="00EE4813" w:rsidP="006200A3">
            <w:pPr>
              <w:pStyle w:val="Akapitzlist"/>
              <w:numPr>
                <w:ilvl w:val="0"/>
                <w:numId w:val="11"/>
              </w:numPr>
              <w:rPr>
                <w:rFonts w:ascii="Lato Light" w:hAnsi="Lato Light"/>
                <w:color w:val="000000"/>
                <w:sz w:val="18"/>
                <w:szCs w:val="18"/>
              </w:rPr>
            </w:pPr>
            <w:r w:rsidRPr="006200A3">
              <w:rPr>
                <w:rFonts w:ascii="Lato Light" w:hAnsi="Lato Light"/>
                <w:color w:val="000000"/>
                <w:sz w:val="18"/>
                <w:szCs w:val="18"/>
              </w:rPr>
              <w:t>Ubezpieczenia emerytalne i rentowe.</w:t>
            </w:r>
          </w:p>
          <w:p w:rsidR="006200A3" w:rsidRPr="006200A3" w:rsidRDefault="006200A3" w:rsidP="006200A3">
            <w:pPr>
              <w:rPr>
                <w:b/>
                <w:color w:val="000000"/>
                <w:sz w:val="24"/>
                <w:szCs w:val="24"/>
              </w:rPr>
            </w:pPr>
            <w:r w:rsidRPr="006200A3">
              <w:rPr>
                <w:b/>
                <w:color w:val="000000"/>
                <w:sz w:val="24"/>
                <w:szCs w:val="24"/>
              </w:rPr>
              <w:t xml:space="preserve">Źródło: dane własne ZUS </w:t>
            </w:r>
          </w:p>
          <w:p w:rsidR="00EE4813" w:rsidRDefault="00EE4813" w:rsidP="00EE4813">
            <w:pPr>
              <w:spacing w:after="0" w:line="240" w:lineRule="auto"/>
              <w:rPr>
                <w:rFonts w:ascii="Lato Light" w:eastAsia="Times New Roman" w:hAnsi="Lato Light" w:cs="Times New Roman"/>
                <w:color w:val="000000"/>
                <w:sz w:val="18"/>
                <w:szCs w:val="18"/>
                <w:lang w:eastAsia="pl-PL"/>
              </w:rPr>
            </w:pPr>
          </w:p>
          <w:p w:rsidR="00EE4813" w:rsidRPr="00EE4813" w:rsidRDefault="00EE4813" w:rsidP="00EE4813">
            <w:pPr>
              <w:spacing w:after="0" w:line="240" w:lineRule="auto"/>
              <w:rPr>
                <w:rFonts w:ascii="Lato Light" w:eastAsia="Times New Roman" w:hAnsi="Lato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13" w:rsidRPr="00EE4813" w:rsidRDefault="00EE4813" w:rsidP="00EE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D71768" w:rsidRDefault="008A3546" w:rsidP="00D71768">
      <w:pPr>
        <w:autoSpaceDE w:val="0"/>
        <w:autoSpaceDN w:val="0"/>
        <w:adjustRightInd w:val="0"/>
        <w:spacing w:after="0" w:line="240" w:lineRule="auto"/>
        <w:rPr>
          <w:rFonts w:cs="Times New Roman CE,Bold"/>
          <w:b/>
          <w:bCs/>
          <w:sz w:val="24"/>
          <w:szCs w:val="24"/>
        </w:rPr>
      </w:pPr>
      <w:r w:rsidRPr="008A3546">
        <w:rPr>
          <w:rFonts w:cs="Times New Roman CE,Bold"/>
          <w:b/>
          <w:bCs/>
          <w:sz w:val="24"/>
          <w:szCs w:val="24"/>
        </w:rPr>
        <w:t xml:space="preserve">Tabela 2. </w:t>
      </w:r>
      <w:r w:rsidR="00D71768" w:rsidRPr="008A3546">
        <w:rPr>
          <w:rFonts w:cs="Times New Roman CE,Bold"/>
          <w:b/>
          <w:bCs/>
          <w:sz w:val="24"/>
          <w:szCs w:val="24"/>
        </w:rPr>
        <w:t>Przeciętna miesięczna liczba osób pobi</w:t>
      </w:r>
      <w:r w:rsidR="00EE4813">
        <w:rPr>
          <w:rFonts w:cs="Times New Roman CE,Bold"/>
          <w:b/>
          <w:bCs/>
          <w:sz w:val="24"/>
          <w:szCs w:val="24"/>
        </w:rPr>
        <w:t xml:space="preserve">erających świadczenia </w:t>
      </w:r>
      <w:proofErr w:type="spellStart"/>
      <w:r w:rsidR="00EE4813">
        <w:rPr>
          <w:rFonts w:cs="Times New Roman CE,Bold"/>
          <w:b/>
          <w:bCs/>
          <w:sz w:val="24"/>
          <w:szCs w:val="24"/>
        </w:rPr>
        <w:t>emerytalno</w:t>
      </w:r>
      <w:proofErr w:type="spellEnd"/>
      <w:r w:rsidR="00EE4813">
        <w:rPr>
          <w:rFonts w:cs="Times New Roman CE,Bold"/>
          <w:b/>
          <w:bCs/>
          <w:sz w:val="24"/>
          <w:szCs w:val="24"/>
        </w:rPr>
        <w:t>–</w:t>
      </w:r>
      <w:r w:rsidR="00D71768" w:rsidRPr="008A3546">
        <w:rPr>
          <w:rFonts w:cs="Times New Roman CE,Bold"/>
          <w:b/>
          <w:bCs/>
          <w:sz w:val="24"/>
          <w:szCs w:val="24"/>
        </w:rPr>
        <w:t>rentowe</w:t>
      </w:r>
    </w:p>
    <w:p w:rsidR="00EE4813" w:rsidRPr="008A3546" w:rsidRDefault="00EE4813" w:rsidP="00D71768">
      <w:pPr>
        <w:autoSpaceDE w:val="0"/>
        <w:autoSpaceDN w:val="0"/>
        <w:adjustRightInd w:val="0"/>
        <w:spacing w:after="0" w:line="240" w:lineRule="auto"/>
        <w:rPr>
          <w:rStyle w:val="Teksttreci100"/>
          <w:rFonts w:asciiTheme="minorHAnsi" w:eastAsiaTheme="minorHAnsi" w:hAnsiTheme="minorHAnsi" w:cs="Times New Roman CE,Bold"/>
          <w:b/>
          <w:bCs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857"/>
        <w:gridCol w:w="4394"/>
      </w:tblGrid>
      <w:tr w:rsidR="00EE4813" w:rsidRPr="00EE4813" w:rsidTr="00EE4813">
        <w:trPr>
          <w:trHeight w:val="879"/>
        </w:trPr>
        <w:tc>
          <w:tcPr>
            <w:tcW w:w="937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Bold" w:eastAsia="Times New Roman" w:hAnsi="Lato Bol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4813">
              <w:rPr>
                <w:rFonts w:ascii="Lato Bold" w:eastAsia="Times New Roman" w:hAnsi="Lato Bold" w:cs="Times New Roman"/>
                <w:b/>
                <w:bCs/>
                <w:color w:val="000000"/>
                <w:sz w:val="24"/>
                <w:szCs w:val="24"/>
                <w:lang w:eastAsia="pl-PL"/>
              </w:rPr>
              <w:t>Pr</w:t>
            </w:r>
            <w:r>
              <w:rPr>
                <w:rFonts w:ascii="Lato Bold" w:eastAsia="Times New Roman" w:hAnsi="Lato Bold" w:cs="Times New Roman"/>
                <w:b/>
                <w:bCs/>
                <w:color w:val="000000"/>
                <w:sz w:val="24"/>
                <w:szCs w:val="24"/>
                <w:lang w:eastAsia="pl-PL"/>
              </w:rPr>
              <w:t>zeciętna miesięczna liczba osób p</w:t>
            </w:r>
            <w:r w:rsidRPr="00EE4813">
              <w:rPr>
                <w:rFonts w:ascii="Lato Bold" w:eastAsia="Times New Roman" w:hAnsi="Lato Bold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obierających świadczenia </w:t>
            </w:r>
            <w:r w:rsidRPr="00EE4813">
              <w:rPr>
                <w:rFonts w:ascii="Lato Bold" w:eastAsia="Times New Roman" w:hAnsi="Lato Bold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emerytalno-rentowe</w:t>
            </w:r>
          </w:p>
        </w:tc>
      </w:tr>
      <w:tr w:rsidR="00EE4813" w:rsidRPr="00EE4813" w:rsidTr="00EE4813">
        <w:trPr>
          <w:trHeight w:val="420"/>
        </w:trPr>
        <w:tc>
          <w:tcPr>
            <w:tcW w:w="11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Lata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Rok poprzedni</w:t>
            </w:r>
          </w:p>
        </w:tc>
      </w:tr>
      <w:tr w:rsidR="00EE4813" w:rsidRPr="00EE4813" w:rsidTr="00EE4813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rPr>
                <w:rFonts w:ascii="Lato Light" w:eastAsia="Times New Roman" w:hAnsi="Lat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i/>
                <w:iCs/>
                <w:color w:val="000000"/>
                <w:sz w:val="20"/>
                <w:szCs w:val="20"/>
                <w:lang w:eastAsia="pl-PL"/>
              </w:rPr>
              <w:t>w tys.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i/>
                <w:iCs/>
                <w:color w:val="000000"/>
                <w:sz w:val="20"/>
                <w:szCs w:val="20"/>
                <w:lang w:eastAsia="pl-PL"/>
              </w:rPr>
              <w:t>= 100</w:t>
            </w:r>
          </w:p>
        </w:tc>
      </w:tr>
      <w:tr w:rsidR="00EE4813" w:rsidRPr="00EE4813" w:rsidTr="00EE4813">
        <w:trPr>
          <w:trHeight w:val="3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7 175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 xml:space="preserve">100,6   </w:t>
            </w:r>
          </w:p>
        </w:tc>
      </w:tr>
      <w:tr w:rsidR="00EE4813" w:rsidRPr="00EE4813" w:rsidTr="00EE4813">
        <w:trPr>
          <w:trHeight w:val="3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7 184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 xml:space="preserve">100,1   </w:t>
            </w:r>
          </w:p>
        </w:tc>
      </w:tr>
      <w:tr w:rsidR="00EE4813" w:rsidRPr="00EE4813" w:rsidTr="00EE4813">
        <w:trPr>
          <w:trHeight w:val="3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7 217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 xml:space="preserve">100,5   </w:t>
            </w:r>
          </w:p>
        </w:tc>
      </w:tr>
      <w:tr w:rsidR="00EE4813" w:rsidRPr="00EE4813" w:rsidTr="00EE4813">
        <w:trPr>
          <w:trHeight w:val="3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7 303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 xml:space="preserve">101,2   </w:t>
            </w:r>
          </w:p>
        </w:tc>
      </w:tr>
      <w:tr w:rsidR="00EE4813" w:rsidRPr="00EE4813" w:rsidTr="00EE4813">
        <w:trPr>
          <w:trHeight w:val="3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7 414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 xml:space="preserve">101,5   </w:t>
            </w:r>
          </w:p>
        </w:tc>
      </w:tr>
      <w:tr w:rsidR="00EE4813" w:rsidRPr="00EE4813" w:rsidTr="00EE4813">
        <w:trPr>
          <w:trHeight w:val="3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7 535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 xml:space="preserve">101,6   </w:t>
            </w:r>
          </w:p>
        </w:tc>
      </w:tr>
      <w:tr w:rsidR="00EE4813" w:rsidRPr="00EE4813" w:rsidTr="00EE4813">
        <w:trPr>
          <w:trHeight w:val="3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7 491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 xml:space="preserve">99,4   </w:t>
            </w:r>
          </w:p>
        </w:tc>
      </w:tr>
      <w:tr w:rsidR="00EE4813" w:rsidRPr="00EE4813" w:rsidTr="00EE4813">
        <w:trPr>
          <w:trHeight w:val="3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7 414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 xml:space="preserve">99,0   </w:t>
            </w:r>
          </w:p>
        </w:tc>
      </w:tr>
      <w:tr w:rsidR="00EE4813" w:rsidRPr="00EE4813" w:rsidTr="00EE4813">
        <w:trPr>
          <w:trHeight w:val="3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7 351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 xml:space="preserve">99,1   </w:t>
            </w:r>
          </w:p>
        </w:tc>
      </w:tr>
      <w:tr w:rsidR="00EE4813" w:rsidRPr="00EE4813" w:rsidTr="00EE4813">
        <w:trPr>
          <w:trHeight w:val="3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7 307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 xml:space="preserve">99,4   </w:t>
            </w:r>
          </w:p>
        </w:tc>
      </w:tr>
      <w:tr w:rsidR="00EE4813" w:rsidRPr="00EE4813" w:rsidTr="00EE4813">
        <w:trPr>
          <w:trHeight w:val="3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7 256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 xml:space="preserve">99,3   </w:t>
            </w:r>
          </w:p>
        </w:tc>
      </w:tr>
      <w:tr w:rsidR="00EE4813" w:rsidRPr="00EE4813" w:rsidTr="00EE4813">
        <w:trPr>
          <w:trHeight w:val="31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>7 274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:rsidR="00EE4813" w:rsidRPr="00EE4813" w:rsidRDefault="00EE4813" w:rsidP="00EE4813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</w:pPr>
            <w:r w:rsidRPr="00EE4813">
              <w:rPr>
                <w:rFonts w:ascii="Lato Light" w:eastAsia="Times New Roman" w:hAnsi="Lato Light" w:cs="Times New Roman"/>
                <w:color w:val="000000"/>
                <w:sz w:val="20"/>
                <w:szCs w:val="20"/>
                <w:lang w:eastAsia="pl-PL"/>
              </w:rPr>
              <w:t xml:space="preserve">100,3   </w:t>
            </w:r>
          </w:p>
        </w:tc>
      </w:tr>
    </w:tbl>
    <w:p w:rsidR="006200A3" w:rsidRPr="006200A3" w:rsidRDefault="006200A3" w:rsidP="006200A3">
      <w:pPr>
        <w:rPr>
          <w:b/>
          <w:color w:val="000000"/>
          <w:sz w:val="24"/>
          <w:szCs w:val="24"/>
        </w:rPr>
      </w:pPr>
      <w:r w:rsidRPr="006200A3">
        <w:rPr>
          <w:b/>
          <w:color w:val="000000"/>
          <w:sz w:val="24"/>
          <w:szCs w:val="24"/>
        </w:rPr>
        <w:t xml:space="preserve">Źródło: dane własne ZUS </w:t>
      </w:r>
    </w:p>
    <w:p w:rsidR="00567DDB" w:rsidRDefault="00567DDB" w:rsidP="00567DDB">
      <w:p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b/>
          <w:sz w:val="24"/>
          <w:szCs w:val="24"/>
        </w:rPr>
      </w:pPr>
      <w:r w:rsidRPr="00567DDB">
        <w:rPr>
          <w:rStyle w:val="Teksttreci100"/>
          <w:rFonts w:asciiTheme="minorHAnsi" w:hAnsiTheme="minorHAnsi"/>
          <w:b/>
          <w:sz w:val="24"/>
          <w:szCs w:val="24"/>
        </w:rPr>
        <w:t>Subkonto w ZUS</w:t>
      </w:r>
    </w:p>
    <w:p w:rsidR="00567DDB" w:rsidRPr="00567DDB" w:rsidRDefault="00567DDB" w:rsidP="00567DDB">
      <w:p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b/>
          <w:sz w:val="24"/>
          <w:szCs w:val="24"/>
        </w:rPr>
      </w:pPr>
      <w:r w:rsidRPr="00567DDB">
        <w:rPr>
          <w:rStyle w:val="Teksttreci100"/>
          <w:rFonts w:asciiTheme="minorHAnsi" w:hAnsiTheme="minorHAnsi"/>
          <w:sz w:val="24"/>
        </w:rPr>
        <w:t>Od 1 maja 2011 r. w ramach konta</w:t>
      </w:r>
      <w:r w:rsidR="00152285">
        <w:rPr>
          <w:rStyle w:val="Teksttreci100"/>
          <w:rFonts w:asciiTheme="minorHAnsi" w:hAnsiTheme="minorHAnsi"/>
          <w:sz w:val="24"/>
        </w:rPr>
        <w:t xml:space="preserve"> ubezpieczonego</w:t>
      </w:r>
      <w:r w:rsidRPr="00567DDB">
        <w:rPr>
          <w:rStyle w:val="Teksttreci100"/>
          <w:rFonts w:asciiTheme="minorHAnsi" w:hAnsiTheme="minorHAnsi"/>
          <w:sz w:val="24"/>
        </w:rPr>
        <w:t xml:space="preserve"> prowadzone jest subkonto dla osób, które są członkami </w:t>
      </w:r>
      <w:r w:rsidR="00152285">
        <w:rPr>
          <w:rStyle w:val="Teksttreci100"/>
          <w:rFonts w:asciiTheme="minorHAnsi" w:hAnsiTheme="minorHAnsi"/>
          <w:sz w:val="24"/>
        </w:rPr>
        <w:t>o</w:t>
      </w:r>
      <w:r w:rsidRPr="00567DDB">
        <w:rPr>
          <w:rStyle w:val="Teksttreci100"/>
          <w:rFonts w:asciiTheme="minorHAnsi" w:hAnsiTheme="minorHAnsi"/>
          <w:sz w:val="24"/>
        </w:rPr>
        <w:t xml:space="preserve">twartych </w:t>
      </w:r>
      <w:r w:rsidR="00152285">
        <w:rPr>
          <w:rStyle w:val="Teksttreci100"/>
          <w:rFonts w:asciiTheme="minorHAnsi" w:hAnsiTheme="minorHAnsi"/>
          <w:sz w:val="24"/>
        </w:rPr>
        <w:t>f</w:t>
      </w:r>
      <w:r w:rsidRPr="00567DDB">
        <w:rPr>
          <w:rStyle w:val="Teksttreci100"/>
          <w:rFonts w:asciiTheme="minorHAnsi" w:hAnsiTheme="minorHAnsi"/>
          <w:sz w:val="24"/>
        </w:rPr>
        <w:t xml:space="preserve">unduszy </w:t>
      </w:r>
      <w:r w:rsidR="00152285">
        <w:rPr>
          <w:rStyle w:val="Teksttreci100"/>
          <w:rFonts w:asciiTheme="minorHAnsi" w:hAnsiTheme="minorHAnsi"/>
          <w:sz w:val="24"/>
        </w:rPr>
        <w:t>e</w:t>
      </w:r>
      <w:r w:rsidRPr="00567DDB">
        <w:rPr>
          <w:rStyle w:val="Teksttreci100"/>
          <w:rFonts w:asciiTheme="minorHAnsi" w:hAnsiTheme="minorHAnsi"/>
          <w:sz w:val="24"/>
        </w:rPr>
        <w:t>merytal</w:t>
      </w:r>
      <w:r w:rsidR="00615B0C">
        <w:rPr>
          <w:rStyle w:val="Teksttreci100"/>
          <w:rFonts w:asciiTheme="minorHAnsi" w:hAnsiTheme="minorHAnsi"/>
          <w:sz w:val="24"/>
        </w:rPr>
        <w:t>nych (OFE), oraz dla osób wchodzących na rynek pracy</w:t>
      </w:r>
      <w:r w:rsidR="00211F9A">
        <w:rPr>
          <w:rStyle w:val="Teksttreci100"/>
          <w:rFonts w:asciiTheme="minorHAnsi" w:hAnsiTheme="minorHAnsi"/>
          <w:sz w:val="24"/>
        </w:rPr>
        <w:t xml:space="preserve"> </w:t>
      </w:r>
      <w:r w:rsidR="00B02F84">
        <w:rPr>
          <w:rStyle w:val="Teksttreci100"/>
          <w:rFonts w:asciiTheme="minorHAnsi" w:hAnsiTheme="minorHAnsi"/>
          <w:sz w:val="24"/>
        </w:rPr>
        <w:t>po 31 </w:t>
      </w:r>
      <w:r w:rsidRPr="00567DDB">
        <w:rPr>
          <w:rStyle w:val="Teksttreci100"/>
          <w:rFonts w:asciiTheme="minorHAnsi" w:hAnsiTheme="minorHAnsi"/>
          <w:sz w:val="24"/>
        </w:rPr>
        <w:t>stycznia 2014 r.</w:t>
      </w:r>
      <w:r w:rsidR="00E24B23">
        <w:rPr>
          <w:rStyle w:val="Teksttreci100"/>
          <w:rFonts w:asciiTheme="minorHAnsi" w:hAnsiTheme="minorHAnsi"/>
          <w:sz w:val="24"/>
        </w:rPr>
        <w:t>, które</w:t>
      </w:r>
      <w:r w:rsidRPr="00567DDB">
        <w:rPr>
          <w:rStyle w:val="Teksttreci100"/>
          <w:rFonts w:asciiTheme="minorHAnsi" w:hAnsiTheme="minorHAnsi"/>
          <w:sz w:val="24"/>
        </w:rPr>
        <w:t xml:space="preserve"> nie zdecydują się na zawarcie umowy z OFE.</w:t>
      </w:r>
    </w:p>
    <w:p w:rsidR="00567DDB" w:rsidRDefault="00567DDB" w:rsidP="00567DDB">
      <w:pPr>
        <w:spacing w:after="0"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BE3BF0">
        <w:rPr>
          <w:rStyle w:val="Teksttreci100"/>
          <w:rFonts w:asciiTheme="minorHAnsi" w:hAnsiTheme="minorHAnsi"/>
          <w:sz w:val="24"/>
          <w:szCs w:val="24"/>
        </w:rPr>
        <w:t xml:space="preserve">Na </w:t>
      </w:r>
      <w:r>
        <w:rPr>
          <w:rStyle w:val="Teksttreci100"/>
          <w:rFonts w:asciiTheme="minorHAnsi" w:hAnsiTheme="minorHAnsi"/>
          <w:sz w:val="24"/>
          <w:szCs w:val="24"/>
        </w:rPr>
        <w:t>sub</w:t>
      </w:r>
      <w:r w:rsidRPr="00BE3BF0">
        <w:rPr>
          <w:rStyle w:val="Teksttreci100"/>
          <w:rFonts w:asciiTheme="minorHAnsi" w:hAnsiTheme="minorHAnsi"/>
          <w:sz w:val="24"/>
          <w:szCs w:val="24"/>
        </w:rPr>
        <w:t>koncie zapisywane są</w:t>
      </w:r>
      <w:r>
        <w:rPr>
          <w:rStyle w:val="Teksttreci100"/>
          <w:rFonts w:asciiTheme="minorHAnsi" w:hAnsiTheme="minorHAnsi"/>
          <w:sz w:val="24"/>
          <w:szCs w:val="24"/>
        </w:rPr>
        <w:t>:</w:t>
      </w:r>
      <w:r w:rsidRPr="00BE3BF0">
        <w:rPr>
          <w:rStyle w:val="Teksttreci100"/>
          <w:rFonts w:asciiTheme="minorHAnsi" w:hAnsiTheme="minorHAnsi"/>
          <w:sz w:val="24"/>
          <w:szCs w:val="24"/>
        </w:rPr>
        <w:t xml:space="preserve"> </w:t>
      </w:r>
    </w:p>
    <w:p w:rsidR="00BE3BF0" w:rsidRPr="00567DDB" w:rsidRDefault="00BE3BF0" w:rsidP="00567DDB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567DDB">
        <w:rPr>
          <w:rStyle w:val="Teksttreci100"/>
          <w:rFonts w:asciiTheme="minorHAnsi" w:hAnsiTheme="minorHAnsi"/>
          <w:sz w:val="24"/>
          <w:szCs w:val="24"/>
        </w:rPr>
        <w:t>informacje o wysokości należnych i wpłaconych składe</w:t>
      </w:r>
      <w:r w:rsidR="00B02F84">
        <w:rPr>
          <w:rStyle w:val="Teksttreci100"/>
          <w:rFonts w:asciiTheme="minorHAnsi" w:hAnsiTheme="minorHAnsi"/>
          <w:sz w:val="24"/>
          <w:szCs w:val="24"/>
        </w:rPr>
        <w:t>k na ubezpieczenie emerytalne w </w:t>
      </w:r>
      <w:r w:rsidRPr="00567DDB">
        <w:rPr>
          <w:rStyle w:val="Teksttreci100"/>
          <w:rFonts w:asciiTheme="minorHAnsi" w:hAnsiTheme="minorHAnsi"/>
          <w:sz w:val="24"/>
          <w:szCs w:val="24"/>
        </w:rPr>
        <w:t>części podlegającej ewidencji na subkoncie,</w:t>
      </w:r>
    </w:p>
    <w:p w:rsidR="00BE3BF0" w:rsidRPr="00567DDB" w:rsidRDefault="00BE3BF0" w:rsidP="00567DDB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567DDB">
        <w:rPr>
          <w:rStyle w:val="Teksttreci100"/>
          <w:rFonts w:asciiTheme="minorHAnsi" w:hAnsiTheme="minorHAnsi"/>
          <w:sz w:val="24"/>
          <w:szCs w:val="24"/>
        </w:rPr>
        <w:t>informacje o zwaloryzowanej wysokości wpłaconych składek na ubezpieczenie emerytalne w części podlegającej ewidencji na subkoncie wraz z wyegzekwowanymi od tych składek odsetkami za zwłokę</w:t>
      </w:r>
      <w:r w:rsidR="003360E2">
        <w:rPr>
          <w:rStyle w:val="Teksttreci100"/>
          <w:rFonts w:asciiTheme="minorHAnsi" w:hAnsiTheme="minorHAnsi"/>
          <w:sz w:val="24"/>
          <w:szCs w:val="24"/>
        </w:rPr>
        <w:t xml:space="preserve"> i opłatą prolongacyjną</w:t>
      </w:r>
      <w:r w:rsidRPr="00567DDB">
        <w:rPr>
          <w:rStyle w:val="Teksttreci100"/>
          <w:rFonts w:asciiTheme="minorHAnsi" w:hAnsiTheme="minorHAnsi"/>
          <w:sz w:val="24"/>
          <w:szCs w:val="24"/>
        </w:rPr>
        <w:t>,</w:t>
      </w:r>
    </w:p>
    <w:p w:rsidR="00BE3BF0" w:rsidRPr="00567DDB" w:rsidRDefault="006200A3" w:rsidP="00567DDB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>
        <w:rPr>
          <w:rStyle w:val="Teksttreci100"/>
          <w:rFonts w:asciiTheme="minorHAnsi" w:hAnsiTheme="minorHAnsi"/>
          <w:sz w:val="24"/>
          <w:szCs w:val="24"/>
        </w:rPr>
        <w:t>informacje o przekazanej</w:t>
      </w:r>
      <w:r w:rsidR="00BE3BF0" w:rsidRPr="00567DDB">
        <w:rPr>
          <w:rStyle w:val="Teksttreci100"/>
          <w:rFonts w:asciiTheme="minorHAnsi" w:hAnsiTheme="minorHAnsi"/>
          <w:sz w:val="24"/>
          <w:szCs w:val="24"/>
        </w:rPr>
        <w:t xml:space="preserve"> przez OFE wartości środków odpowiadających s</w:t>
      </w:r>
      <w:r w:rsidR="00C16E60">
        <w:rPr>
          <w:rStyle w:val="Teksttreci100"/>
          <w:rFonts w:asciiTheme="minorHAnsi" w:hAnsiTheme="minorHAnsi"/>
          <w:sz w:val="24"/>
          <w:szCs w:val="24"/>
        </w:rPr>
        <w:t xml:space="preserve">umie wartości umorzonych 51,5% </w:t>
      </w:r>
      <w:r w:rsidR="00BE3BF0" w:rsidRPr="00567DDB">
        <w:rPr>
          <w:rStyle w:val="Teksttreci100"/>
          <w:rFonts w:asciiTheme="minorHAnsi" w:hAnsiTheme="minorHAnsi"/>
          <w:sz w:val="24"/>
          <w:szCs w:val="24"/>
        </w:rPr>
        <w:t xml:space="preserve"> jednostek rozrachunkowych zapisanych na rachunku członka OFE na dzień 31 stycznia 2014 r.,</w:t>
      </w:r>
    </w:p>
    <w:p w:rsidR="00BE3BF0" w:rsidRDefault="00BE3BF0" w:rsidP="00567DDB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  <w:r w:rsidRPr="00567DDB">
        <w:rPr>
          <w:rStyle w:val="Teksttreci100"/>
          <w:rFonts w:asciiTheme="minorHAnsi" w:hAnsiTheme="minorHAnsi"/>
          <w:sz w:val="24"/>
          <w:szCs w:val="24"/>
        </w:rPr>
        <w:t xml:space="preserve">informacje o kwocie środków odpowiadających wartości </w:t>
      </w:r>
      <w:r w:rsidR="003C519A">
        <w:rPr>
          <w:rStyle w:val="Teksttreci100"/>
          <w:rFonts w:asciiTheme="minorHAnsi" w:hAnsiTheme="minorHAnsi"/>
          <w:sz w:val="24"/>
          <w:szCs w:val="24"/>
        </w:rPr>
        <w:t>umorzonych i przekazanych do Zakładu</w:t>
      </w:r>
      <w:r w:rsidRPr="00567DDB">
        <w:rPr>
          <w:rStyle w:val="Teksttreci100"/>
          <w:rFonts w:asciiTheme="minorHAnsi" w:hAnsiTheme="minorHAnsi"/>
          <w:sz w:val="24"/>
          <w:szCs w:val="24"/>
        </w:rPr>
        <w:t xml:space="preserve"> przez </w:t>
      </w:r>
      <w:r w:rsidR="003C519A">
        <w:rPr>
          <w:rStyle w:val="Teksttreci100"/>
          <w:rFonts w:asciiTheme="minorHAnsi" w:hAnsiTheme="minorHAnsi"/>
          <w:sz w:val="24"/>
          <w:szCs w:val="24"/>
        </w:rPr>
        <w:t>OFE</w:t>
      </w:r>
      <w:r w:rsidRPr="00567DDB">
        <w:rPr>
          <w:rStyle w:val="Teksttreci100"/>
          <w:rFonts w:asciiTheme="minorHAnsi" w:hAnsiTheme="minorHAnsi"/>
          <w:sz w:val="24"/>
          <w:szCs w:val="24"/>
        </w:rPr>
        <w:t xml:space="preserve"> jednostek rozrachunkowych zgromadzonych na rachunku członka OFE, w związku z ukończeniem przez </w:t>
      </w:r>
      <w:r w:rsidR="00B02F84">
        <w:rPr>
          <w:rStyle w:val="Teksttreci100"/>
          <w:rFonts w:asciiTheme="minorHAnsi" w:hAnsiTheme="minorHAnsi"/>
          <w:sz w:val="24"/>
          <w:szCs w:val="24"/>
        </w:rPr>
        <w:t>ubezpieczonego wieku niższego o </w:t>
      </w:r>
      <w:r w:rsidRPr="00567DDB">
        <w:rPr>
          <w:rStyle w:val="Teksttreci100"/>
          <w:rFonts w:asciiTheme="minorHAnsi" w:hAnsiTheme="minorHAnsi"/>
          <w:sz w:val="24"/>
          <w:szCs w:val="24"/>
        </w:rPr>
        <w:t>10 lat od wieku emerytalnego.</w:t>
      </w:r>
    </w:p>
    <w:p w:rsidR="00C16E60" w:rsidRPr="00567DDB" w:rsidRDefault="00C16E60" w:rsidP="00C16E60">
      <w:pPr>
        <w:pStyle w:val="Akapitzlist"/>
        <w:tabs>
          <w:tab w:val="left" w:pos="426"/>
        </w:tabs>
        <w:spacing w:line="360" w:lineRule="auto"/>
        <w:jc w:val="both"/>
        <w:rPr>
          <w:rStyle w:val="Teksttreci100"/>
          <w:rFonts w:asciiTheme="minorHAnsi" w:hAnsiTheme="minorHAnsi"/>
          <w:sz w:val="24"/>
          <w:szCs w:val="24"/>
        </w:rPr>
      </w:pPr>
    </w:p>
    <w:p w:rsidR="00FD3086" w:rsidRDefault="00FD3086" w:rsidP="00BE3BF0">
      <w:pPr>
        <w:spacing w:after="0" w:line="360" w:lineRule="auto"/>
        <w:jc w:val="both"/>
        <w:rPr>
          <w:b/>
          <w:sz w:val="24"/>
          <w:szCs w:val="24"/>
        </w:rPr>
      </w:pPr>
    </w:p>
    <w:p w:rsidR="00DF7BDD" w:rsidRPr="00DF7BDD" w:rsidRDefault="00DF7BDD" w:rsidP="00BE3BF0">
      <w:pPr>
        <w:spacing w:after="0" w:line="360" w:lineRule="auto"/>
        <w:jc w:val="both"/>
        <w:rPr>
          <w:b/>
          <w:sz w:val="24"/>
          <w:szCs w:val="24"/>
        </w:rPr>
      </w:pPr>
      <w:r w:rsidRPr="00DF7BDD">
        <w:rPr>
          <w:b/>
          <w:sz w:val="24"/>
          <w:szCs w:val="24"/>
        </w:rPr>
        <w:t>Informacja o stanie konta ubezpieczonego</w:t>
      </w:r>
    </w:p>
    <w:p w:rsidR="004E45C4" w:rsidRPr="00DE571E" w:rsidRDefault="00E24B23" w:rsidP="007538C8">
      <w:pPr>
        <w:spacing w:after="0" w:line="360" w:lineRule="auto"/>
        <w:rPr>
          <w:rFonts w:eastAsia="Book Antiqua" w:cs="Book Antiqua"/>
          <w:color w:val="000000" w:themeColor="text1"/>
          <w:sz w:val="24"/>
          <w:szCs w:val="24"/>
        </w:rPr>
      </w:pPr>
      <w:r>
        <w:rPr>
          <w:rFonts w:cs="A"/>
          <w:sz w:val="24"/>
          <w:szCs w:val="24"/>
        </w:rPr>
        <w:t>Zgodnie z art. 50 ustawy w</w:t>
      </w:r>
      <w:r w:rsidR="006200A3">
        <w:rPr>
          <w:rFonts w:cs="A"/>
          <w:sz w:val="24"/>
          <w:szCs w:val="24"/>
        </w:rPr>
        <w:t xml:space="preserve"> I</w:t>
      </w:r>
      <w:r w:rsidR="004E45C4" w:rsidRPr="00DE571E">
        <w:rPr>
          <w:rFonts w:cs="A"/>
          <w:sz w:val="24"/>
          <w:szCs w:val="24"/>
        </w:rPr>
        <w:t>nformacji o stanie konta Zakład podaje wysokość:</w:t>
      </w:r>
    </w:p>
    <w:p w:rsidR="00DE571E" w:rsidRPr="00DE571E" w:rsidRDefault="00DE571E" w:rsidP="00DE571E">
      <w:pPr>
        <w:pStyle w:val="Akapitzlist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"/>
        </w:rPr>
      </w:pPr>
      <w:r>
        <w:rPr>
          <w:rFonts w:asciiTheme="minorHAnsi" w:hAnsiTheme="minorHAnsi" w:cs="A"/>
        </w:rPr>
        <w:t>zwaloryzowanych składek na ubezpieczenie emerytalne,</w:t>
      </w:r>
    </w:p>
    <w:p w:rsidR="004E45C4" w:rsidRPr="00DE571E" w:rsidRDefault="004E45C4" w:rsidP="00DE571E">
      <w:pPr>
        <w:pStyle w:val="Akapitzlist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"/>
        </w:rPr>
      </w:pPr>
      <w:r w:rsidRPr="00DE571E">
        <w:rPr>
          <w:rFonts w:asciiTheme="minorHAnsi" w:hAnsiTheme="minorHAnsi" w:cs="A"/>
        </w:rPr>
        <w:t>zwaloryzowanego kapitału początkowego według stanu na dzień 31 grudnia poprzedniego roku, w przypadku gdy kapitał ten zost</w:t>
      </w:r>
      <w:r w:rsidR="00AA1FFF">
        <w:rPr>
          <w:rFonts w:asciiTheme="minorHAnsi" w:hAnsiTheme="minorHAnsi" w:cs="A"/>
        </w:rPr>
        <w:t>ał już ubezpieczonemu obliczony,</w:t>
      </w:r>
    </w:p>
    <w:p w:rsidR="004E45C4" w:rsidRDefault="00AA1FFF" w:rsidP="00DE571E">
      <w:pPr>
        <w:pStyle w:val="Akapitzlist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"/>
        </w:rPr>
      </w:pPr>
      <w:r>
        <w:rPr>
          <w:rFonts w:asciiTheme="minorHAnsi" w:hAnsiTheme="minorHAnsi" w:cs="A"/>
        </w:rPr>
        <w:t>hipotetycznej emerytury</w:t>
      </w:r>
    </w:p>
    <w:p w:rsidR="00AA1FFF" w:rsidRPr="00AA1FFF" w:rsidRDefault="00AA1FFF" w:rsidP="00AA1FF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"/>
        </w:rPr>
      </w:pPr>
      <w:r>
        <w:rPr>
          <w:rFonts w:asciiTheme="minorHAnsi" w:hAnsiTheme="minorHAnsi" w:cs="A"/>
        </w:rPr>
        <w:t>(w</w:t>
      </w:r>
      <w:r w:rsidRPr="00AA1FFF">
        <w:rPr>
          <w:rFonts w:asciiTheme="minorHAnsi" w:hAnsiTheme="minorHAnsi" w:cs="A"/>
        </w:rPr>
        <w:t>ysokość hipotetycznej emerytury podaje się ub</w:t>
      </w:r>
      <w:r w:rsidR="00B02F84">
        <w:rPr>
          <w:rFonts w:asciiTheme="minorHAnsi" w:hAnsiTheme="minorHAnsi" w:cs="A"/>
        </w:rPr>
        <w:t>ezpieczonemu, który na dzień 31 </w:t>
      </w:r>
      <w:r w:rsidRPr="00AA1FFF">
        <w:rPr>
          <w:rFonts w:asciiTheme="minorHAnsi" w:hAnsiTheme="minorHAnsi" w:cs="A"/>
        </w:rPr>
        <w:t>grudnia poprzedniego r</w:t>
      </w:r>
      <w:r>
        <w:rPr>
          <w:rFonts w:asciiTheme="minorHAnsi" w:hAnsiTheme="minorHAnsi" w:cs="A"/>
        </w:rPr>
        <w:t>oku ukończył co najmniej 35 lat),</w:t>
      </w:r>
    </w:p>
    <w:p w:rsidR="004E45C4" w:rsidRPr="00DE571E" w:rsidRDefault="004E45C4" w:rsidP="00DE571E">
      <w:pPr>
        <w:pStyle w:val="Akapitzlist"/>
        <w:numPr>
          <w:ilvl w:val="0"/>
          <w:numId w:val="6"/>
        </w:numPr>
        <w:tabs>
          <w:tab w:val="right" w:pos="28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"/>
        </w:rPr>
      </w:pPr>
      <w:r w:rsidRPr="00DE571E">
        <w:rPr>
          <w:rFonts w:asciiTheme="minorHAnsi" w:hAnsiTheme="minorHAnsi" w:cs="A"/>
        </w:rPr>
        <w:t>kwot składek, środków, odsetek za zwłokę i opłaty prolongacyjnej, ogółem, zewidencjonowanych na subkoncie, według stanu na dzi</w:t>
      </w:r>
      <w:r w:rsidR="00AA1FFF">
        <w:rPr>
          <w:rFonts w:asciiTheme="minorHAnsi" w:hAnsiTheme="minorHAnsi" w:cs="A"/>
        </w:rPr>
        <w:t>eń 31 grudnia poprzedniego roku,</w:t>
      </w:r>
    </w:p>
    <w:p w:rsidR="004E45C4" w:rsidRPr="00DE571E" w:rsidRDefault="004E45C4" w:rsidP="00DE571E">
      <w:pPr>
        <w:pStyle w:val="Akapitzlist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"/>
        </w:rPr>
      </w:pPr>
      <w:r w:rsidRPr="00DE571E">
        <w:rPr>
          <w:rFonts w:asciiTheme="minorHAnsi" w:hAnsiTheme="minorHAnsi" w:cs="A"/>
        </w:rPr>
        <w:t>składek na ubezpieczenie emerytalne, z wyłączeniem składek podlegających odprowadzeniu do otwartego funduszu emerytalnego i zewidencjonowaniu na subkoncie</w:t>
      </w:r>
      <w:r w:rsidR="00FD3086">
        <w:rPr>
          <w:rFonts w:asciiTheme="minorHAnsi" w:hAnsiTheme="minorHAnsi" w:cs="A"/>
        </w:rPr>
        <w:t xml:space="preserve"> (czyli składek zapisanych na I filarze)</w:t>
      </w:r>
      <w:r w:rsidRPr="00DE571E">
        <w:rPr>
          <w:rFonts w:asciiTheme="minorHAnsi" w:hAnsiTheme="minorHAnsi" w:cs="A"/>
        </w:rPr>
        <w:t>:</w:t>
      </w:r>
    </w:p>
    <w:p w:rsidR="004E45C4" w:rsidRPr="00DE571E" w:rsidRDefault="004E45C4" w:rsidP="00DE571E">
      <w:pPr>
        <w:pStyle w:val="Akapitzlist"/>
        <w:numPr>
          <w:ilvl w:val="1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"/>
        </w:rPr>
      </w:pPr>
      <w:r w:rsidRPr="00DE571E">
        <w:rPr>
          <w:rFonts w:asciiTheme="minorHAnsi" w:hAnsiTheme="minorHAnsi" w:cs="A"/>
        </w:rPr>
        <w:t>należnych - w przypadku ubezpieczonych niebędących płatnikami składek,</w:t>
      </w:r>
    </w:p>
    <w:p w:rsidR="004E45C4" w:rsidRPr="006F4490" w:rsidRDefault="004E45C4" w:rsidP="00DE571E">
      <w:pPr>
        <w:pStyle w:val="Akapitzlist"/>
        <w:numPr>
          <w:ilvl w:val="1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"/>
        </w:rPr>
      </w:pPr>
      <w:r w:rsidRPr="006F4490">
        <w:rPr>
          <w:rFonts w:asciiTheme="minorHAnsi" w:hAnsiTheme="minorHAnsi" w:cs="A"/>
        </w:rPr>
        <w:t>wpłaconych - w przypadku ubezpieczonych będących płatnikami składek oraz osób współpracujących z osobami prowadzącymi pozarolniczą działalność</w:t>
      </w:r>
      <w:r w:rsidR="00C16E60">
        <w:rPr>
          <w:rFonts w:asciiTheme="minorHAnsi" w:hAnsiTheme="minorHAnsi" w:cs="A"/>
        </w:rPr>
        <w:t>,</w:t>
      </w:r>
    </w:p>
    <w:p w:rsidR="004E45C4" w:rsidRPr="006F4490" w:rsidRDefault="004E45C4" w:rsidP="00AA1FF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"/>
        </w:rPr>
      </w:pPr>
      <w:r w:rsidRPr="006F4490">
        <w:rPr>
          <w:rFonts w:asciiTheme="minorHAnsi" w:hAnsiTheme="minorHAnsi" w:cs="A"/>
        </w:rPr>
        <w:t>za okres ostatnich 12 miesięcy kalendarzowych, według stanu na dzień 31 grudnia poprzedniego roku, w wysokości no</w:t>
      </w:r>
      <w:r w:rsidR="00AA1FFF" w:rsidRPr="006F4490">
        <w:rPr>
          <w:rFonts w:asciiTheme="minorHAnsi" w:hAnsiTheme="minorHAnsi" w:cs="A"/>
        </w:rPr>
        <w:t xml:space="preserve">minalnej </w:t>
      </w:r>
      <w:r w:rsidR="00FD3086">
        <w:rPr>
          <w:rFonts w:asciiTheme="minorHAnsi" w:hAnsiTheme="minorHAnsi" w:cs="A"/>
        </w:rPr>
        <w:t xml:space="preserve">(bez waloryzacji) </w:t>
      </w:r>
      <w:r w:rsidR="00AA1FFF" w:rsidRPr="006F4490">
        <w:rPr>
          <w:rFonts w:asciiTheme="minorHAnsi" w:hAnsiTheme="minorHAnsi" w:cs="A"/>
        </w:rPr>
        <w:t>w podziale na miesiące,</w:t>
      </w:r>
    </w:p>
    <w:p w:rsidR="004E45C4" w:rsidRDefault="004E45C4" w:rsidP="00DE571E">
      <w:pPr>
        <w:pStyle w:val="Akapitzlist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"/>
        </w:rPr>
      </w:pPr>
      <w:r w:rsidRPr="006F4490">
        <w:rPr>
          <w:rFonts w:asciiTheme="minorHAnsi" w:hAnsiTheme="minorHAnsi" w:cs="A"/>
        </w:rPr>
        <w:t>składek na otwarte fundusze emeryta</w:t>
      </w:r>
      <w:r w:rsidR="00AA1FFF" w:rsidRPr="006F4490">
        <w:rPr>
          <w:rFonts w:asciiTheme="minorHAnsi" w:hAnsiTheme="minorHAnsi" w:cs="A"/>
        </w:rPr>
        <w:t>lne, należnych i odprowadzonych</w:t>
      </w:r>
      <w:r w:rsidR="006F4490">
        <w:rPr>
          <w:rFonts w:asciiTheme="minorHAnsi" w:hAnsiTheme="minorHAnsi" w:cs="A"/>
        </w:rPr>
        <w:t>,</w:t>
      </w:r>
    </w:p>
    <w:p w:rsidR="004E45C4" w:rsidRPr="006F4490" w:rsidRDefault="004E45C4" w:rsidP="006F4490">
      <w:pPr>
        <w:pStyle w:val="Akapitzlist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"/>
        </w:rPr>
      </w:pPr>
      <w:r w:rsidRPr="006F4490">
        <w:rPr>
          <w:rFonts w:asciiTheme="minorHAnsi" w:hAnsiTheme="minorHAnsi" w:cs="A"/>
        </w:rPr>
        <w:t>składek należnych i wpłaconych zewidencjonowanych na subkoncie</w:t>
      </w:r>
      <w:r w:rsidR="00B249C9" w:rsidRPr="006F4490">
        <w:rPr>
          <w:rFonts w:asciiTheme="minorHAnsi" w:hAnsiTheme="minorHAnsi" w:cs="A"/>
        </w:rPr>
        <w:t>.</w:t>
      </w:r>
    </w:p>
    <w:p w:rsidR="00E24B23" w:rsidRDefault="00E24B23" w:rsidP="00E24B23">
      <w:pPr>
        <w:spacing w:after="0" w:line="360" w:lineRule="auto"/>
        <w:ind w:left="357"/>
        <w:jc w:val="both"/>
        <w:rPr>
          <w:rStyle w:val="Teksttreci100"/>
          <w:rFonts w:asciiTheme="minorHAnsi" w:hAnsiTheme="minorHAnsi"/>
          <w:sz w:val="24"/>
          <w:szCs w:val="24"/>
        </w:rPr>
      </w:pPr>
    </w:p>
    <w:p w:rsidR="00B249C9" w:rsidRPr="00E24B23" w:rsidRDefault="00E24B23" w:rsidP="00E24B23">
      <w:pPr>
        <w:spacing w:after="0" w:line="360" w:lineRule="auto"/>
        <w:ind w:left="357"/>
        <w:jc w:val="both"/>
        <w:rPr>
          <w:rFonts w:eastAsia="Book Antiqua" w:cs="Book Antiqua"/>
          <w:color w:val="000000" w:themeColor="text1"/>
          <w:sz w:val="24"/>
          <w:szCs w:val="24"/>
        </w:rPr>
      </w:pPr>
      <w:r w:rsidRPr="00E24B23">
        <w:rPr>
          <w:rStyle w:val="Teksttreci100"/>
          <w:rFonts w:asciiTheme="minorHAnsi" w:hAnsiTheme="minorHAnsi"/>
          <w:sz w:val="24"/>
          <w:szCs w:val="24"/>
        </w:rPr>
        <w:t xml:space="preserve">Osobom urodzonym po 31 grudnia 1948 r., które mają na koncie choć jedną z </w:t>
      </w:r>
      <w:r w:rsidR="00FC0B80">
        <w:rPr>
          <w:rStyle w:val="Teksttreci100"/>
          <w:rFonts w:asciiTheme="minorHAnsi" w:hAnsiTheme="minorHAnsi"/>
          <w:sz w:val="24"/>
          <w:szCs w:val="24"/>
        </w:rPr>
        <w:t xml:space="preserve">ww. </w:t>
      </w:r>
      <w:r w:rsidRPr="00E24B23">
        <w:rPr>
          <w:rStyle w:val="Teksttreci100"/>
          <w:rFonts w:asciiTheme="minorHAnsi" w:hAnsiTheme="minorHAnsi"/>
          <w:sz w:val="24"/>
          <w:szCs w:val="24"/>
        </w:rPr>
        <w:t xml:space="preserve">danych, Zakład przesyła Informację o stanie konta według stanu na dzień 31 grudnia </w:t>
      </w:r>
      <w:r w:rsidR="00FC0B80">
        <w:rPr>
          <w:rStyle w:val="Teksttreci100"/>
          <w:rFonts w:asciiTheme="minorHAnsi" w:hAnsiTheme="minorHAnsi"/>
          <w:color w:val="000000" w:themeColor="text1"/>
          <w:sz w:val="24"/>
          <w:szCs w:val="24"/>
        </w:rPr>
        <w:t>poprzedniego roku.</w:t>
      </w:r>
    </w:p>
    <w:p w:rsidR="002717C2" w:rsidRPr="002717C2" w:rsidRDefault="002717C2" w:rsidP="002717C2">
      <w:pPr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  <w:r w:rsidRPr="002717C2">
        <w:rPr>
          <w:rFonts w:cs="Times New Roman"/>
          <w:sz w:val="24"/>
          <w:szCs w:val="24"/>
        </w:rPr>
        <w:t>Oznacza to, że Informacja o stanie konta  jest wysyłana również do osób, które w 2015 r.:</w:t>
      </w:r>
    </w:p>
    <w:p w:rsidR="002717C2" w:rsidRPr="002717C2" w:rsidRDefault="002717C2" w:rsidP="002717C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2717C2">
        <w:rPr>
          <w:rFonts w:asciiTheme="minorHAnsi" w:hAnsiTheme="minorHAnsi"/>
        </w:rPr>
        <w:t>nie podlegały ubezpieczeniom społecznym,</w:t>
      </w:r>
    </w:p>
    <w:p w:rsidR="002717C2" w:rsidRPr="002717C2" w:rsidRDefault="002717C2" w:rsidP="002717C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2717C2">
        <w:rPr>
          <w:rFonts w:asciiTheme="minorHAnsi" w:hAnsiTheme="minorHAnsi"/>
        </w:rPr>
        <w:lastRenderedPageBreak/>
        <w:t xml:space="preserve">na koncie mają zewidencjonowany wyłącznie kapitał początkowy albo </w:t>
      </w:r>
    </w:p>
    <w:p w:rsidR="002717C2" w:rsidRPr="002717C2" w:rsidRDefault="002717C2" w:rsidP="002717C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2717C2">
        <w:rPr>
          <w:rFonts w:asciiTheme="minorHAnsi" w:hAnsiTheme="minorHAnsi"/>
        </w:rPr>
        <w:t>na koncie mają zewidencjonowane wyłącznie środki z II filara otrzymane na skutek podziału z tytułu rozwodu, unieważnie</w:t>
      </w:r>
      <w:r w:rsidR="002E45AB">
        <w:rPr>
          <w:rFonts w:asciiTheme="minorHAnsi" w:hAnsiTheme="minorHAnsi"/>
        </w:rPr>
        <w:t>nia małżeństwa czy też śmierci np. współmałżonka.</w:t>
      </w:r>
    </w:p>
    <w:p w:rsidR="00CE44B3" w:rsidRDefault="00CE44B3" w:rsidP="002717C2">
      <w:pPr>
        <w:spacing w:after="0" w:line="360" w:lineRule="auto"/>
        <w:ind w:left="360"/>
        <w:jc w:val="both"/>
        <w:rPr>
          <w:rFonts w:cs="Times New Roman"/>
          <w:sz w:val="24"/>
          <w:szCs w:val="24"/>
        </w:rPr>
      </w:pPr>
    </w:p>
    <w:p w:rsidR="00CE44B3" w:rsidRPr="00CE44B3" w:rsidRDefault="006D0A38" w:rsidP="00CE44B3">
      <w:pPr>
        <w:spacing w:after="0" w:line="36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2016 roku </w:t>
      </w:r>
      <w:r w:rsidR="00CE44B3" w:rsidRPr="00CE44B3">
        <w:rPr>
          <w:rFonts w:cs="Times New Roman"/>
          <w:sz w:val="24"/>
          <w:szCs w:val="24"/>
        </w:rPr>
        <w:t>Zakład przygotował 20,14 mln Informacji o stanie konta ubezpieczonego wg stanu na koniec roku 2015, z czego:</w:t>
      </w:r>
    </w:p>
    <w:p w:rsidR="00CE44B3" w:rsidRDefault="00CE44B3" w:rsidP="00CE44B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</w:rPr>
      </w:pPr>
      <w:r w:rsidRPr="00CE44B3">
        <w:rPr>
          <w:rFonts w:asciiTheme="minorHAnsi" w:hAnsiTheme="minorHAnsi"/>
        </w:rPr>
        <w:t xml:space="preserve">14,65 mln </w:t>
      </w:r>
      <w:r w:rsidR="00C06205">
        <w:rPr>
          <w:rFonts w:asciiTheme="minorHAnsi" w:hAnsiTheme="minorHAnsi"/>
        </w:rPr>
        <w:t>dotyczy</w:t>
      </w:r>
      <w:r>
        <w:rPr>
          <w:rFonts w:asciiTheme="minorHAnsi" w:hAnsiTheme="minorHAnsi"/>
        </w:rPr>
        <w:t xml:space="preserve"> kont</w:t>
      </w:r>
      <w:r w:rsidR="00FD3086" w:rsidRPr="00FD3086">
        <w:rPr>
          <w:rFonts w:asciiTheme="minorHAnsi" w:hAnsiTheme="minorHAnsi"/>
        </w:rPr>
        <w:t xml:space="preserve"> </w:t>
      </w:r>
      <w:r w:rsidR="00FD3086">
        <w:rPr>
          <w:rFonts w:asciiTheme="minorHAnsi" w:hAnsiTheme="minorHAnsi"/>
        </w:rPr>
        <w:t>ubezpieczonych</w:t>
      </w:r>
      <w:r w:rsidR="002E45A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na których zostały zewidencjonowane składki za 2015 r.,</w:t>
      </w:r>
    </w:p>
    <w:p w:rsidR="00CE44B3" w:rsidRDefault="00CE44B3" w:rsidP="00CE44B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5,48 mln dotyczy kont ubezpieczonych, na których nie ma </w:t>
      </w:r>
      <w:r w:rsidR="002E45AB">
        <w:rPr>
          <w:rFonts w:asciiTheme="minorHAnsi" w:hAnsiTheme="minorHAnsi"/>
        </w:rPr>
        <w:t>składek za 2015 </w:t>
      </w:r>
      <w:r>
        <w:rPr>
          <w:rFonts w:asciiTheme="minorHAnsi" w:hAnsiTheme="minorHAnsi"/>
        </w:rPr>
        <w:t>r., z tego:</w:t>
      </w:r>
    </w:p>
    <w:p w:rsidR="00CE44B3" w:rsidRDefault="002E4AE9" w:rsidP="00CE44B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1,15</w:t>
      </w:r>
      <w:r w:rsidR="00CE44B3">
        <w:rPr>
          <w:rFonts w:asciiTheme="minorHAnsi" w:hAnsiTheme="minorHAnsi"/>
        </w:rPr>
        <w:t xml:space="preserve"> mln – to konta ze zwaloryzowanymi składkami na I filarze i kwotą zwalor</w:t>
      </w:r>
      <w:r w:rsidR="006E3B79">
        <w:rPr>
          <w:rFonts w:asciiTheme="minorHAnsi" w:hAnsiTheme="minorHAnsi"/>
        </w:rPr>
        <w:t>yzowanego kapitału początkowego</w:t>
      </w:r>
      <w:r w:rsidR="006A28F6">
        <w:rPr>
          <w:rFonts w:asciiTheme="minorHAnsi" w:hAnsiTheme="minorHAnsi"/>
        </w:rPr>
        <w:t xml:space="preserve"> albo tylko ze środkami na subkoncie,</w:t>
      </w:r>
    </w:p>
    <w:p w:rsidR="00CE44B3" w:rsidRDefault="003E097E" w:rsidP="00CE44B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4,19 mln – to konta ze zwaloryzowanymi składkami na I filarze,</w:t>
      </w:r>
    </w:p>
    <w:p w:rsidR="003E097E" w:rsidRPr="00CE44B3" w:rsidRDefault="002E4AE9" w:rsidP="00CE44B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0,14</w:t>
      </w:r>
      <w:r w:rsidR="003E097E">
        <w:rPr>
          <w:rFonts w:asciiTheme="minorHAnsi" w:hAnsiTheme="minorHAnsi"/>
        </w:rPr>
        <w:t xml:space="preserve"> mln – to konta ze zwaloryzowanym kapitałem początkowym.</w:t>
      </w:r>
    </w:p>
    <w:p w:rsidR="00CE44B3" w:rsidRDefault="00CE44B3" w:rsidP="002717C2">
      <w:pPr>
        <w:spacing w:after="0" w:line="360" w:lineRule="auto"/>
        <w:ind w:left="360"/>
        <w:jc w:val="both"/>
        <w:rPr>
          <w:rFonts w:cs="Times New Roman"/>
          <w:sz w:val="24"/>
          <w:szCs w:val="24"/>
        </w:rPr>
      </w:pPr>
    </w:p>
    <w:p w:rsidR="002717C2" w:rsidRPr="002717C2" w:rsidRDefault="00FC0B80" w:rsidP="00FC0B80">
      <w:pPr>
        <w:spacing w:after="0" w:line="360" w:lineRule="auto"/>
        <w:ind w:left="426"/>
        <w:rPr>
          <w:rFonts w:cs="Times New Roman"/>
          <w:b/>
          <w:sz w:val="24"/>
          <w:szCs w:val="24"/>
          <w:u w:val="single"/>
        </w:rPr>
      </w:pPr>
      <w:r>
        <w:rPr>
          <w:rFonts w:cs="A"/>
          <w:sz w:val="24"/>
          <w:szCs w:val="24"/>
        </w:rPr>
        <w:t xml:space="preserve">Zgodnie z ustawą Zakład ma obowiązek wysłać Informacje o stanie konta </w:t>
      </w:r>
      <w:r w:rsidRPr="00E24B23">
        <w:rPr>
          <w:rFonts w:cs="A"/>
          <w:sz w:val="24"/>
          <w:szCs w:val="24"/>
        </w:rPr>
        <w:t>w terminie do dnia 31 sierpnia każdego roku.</w:t>
      </w:r>
    </w:p>
    <w:p w:rsidR="00DF7BDD" w:rsidRPr="002717C2" w:rsidRDefault="00DF7BDD" w:rsidP="007538C8">
      <w:pPr>
        <w:spacing w:after="0" w:line="360" w:lineRule="auto"/>
        <w:jc w:val="both"/>
        <w:rPr>
          <w:sz w:val="24"/>
          <w:szCs w:val="24"/>
        </w:rPr>
      </w:pPr>
    </w:p>
    <w:p w:rsidR="007538C8" w:rsidRPr="002717C2" w:rsidRDefault="007538C8">
      <w:pPr>
        <w:spacing w:after="0" w:line="360" w:lineRule="auto"/>
        <w:jc w:val="both"/>
        <w:rPr>
          <w:sz w:val="24"/>
          <w:szCs w:val="24"/>
        </w:rPr>
      </w:pPr>
    </w:p>
    <w:sectPr w:rsidR="007538C8" w:rsidRPr="002717C2" w:rsidSect="003B23D9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CE" w:rsidRDefault="000104CE" w:rsidP="00BE3BF0">
      <w:pPr>
        <w:spacing w:after="0" w:line="240" w:lineRule="auto"/>
      </w:pPr>
      <w:r>
        <w:separator/>
      </w:r>
    </w:p>
  </w:endnote>
  <w:endnote w:type="continuationSeparator" w:id="0">
    <w:p w:rsidR="000104CE" w:rsidRDefault="000104CE" w:rsidP="00BE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 Bold">
    <w:panose1 w:val="00000000000000000000"/>
    <w:charset w:val="00"/>
    <w:family w:val="roman"/>
    <w:notTrueType/>
    <w:pitch w:val="default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 CE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128101"/>
      <w:docPartObj>
        <w:docPartGallery w:val="Page Numbers (Bottom of Page)"/>
        <w:docPartUnique/>
      </w:docPartObj>
    </w:sdtPr>
    <w:sdtEndPr/>
    <w:sdtContent>
      <w:p w:rsidR="00BE3BF0" w:rsidRDefault="00BE3B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DA5">
          <w:rPr>
            <w:noProof/>
          </w:rPr>
          <w:t>1</w:t>
        </w:r>
        <w:r>
          <w:fldChar w:fldCharType="end"/>
        </w:r>
      </w:p>
    </w:sdtContent>
  </w:sdt>
  <w:p w:rsidR="00BE3BF0" w:rsidRDefault="00BE3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CE" w:rsidRDefault="000104CE" w:rsidP="00BE3BF0">
      <w:pPr>
        <w:spacing w:after="0" w:line="240" w:lineRule="auto"/>
      </w:pPr>
      <w:r>
        <w:separator/>
      </w:r>
    </w:p>
  </w:footnote>
  <w:footnote w:type="continuationSeparator" w:id="0">
    <w:p w:rsidR="000104CE" w:rsidRDefault="000104CE" w:rsidP="00BE3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B2F"/>
    <w:multiLevelType w:val="hybridMultilevel"/>
    <w:tmpl w:val="AAAE6998"/>
    <w:lvl w:ilvl="0" w:tplc="AAF4FF8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6E33C5"/>
    <w:multiLevelType w:val="hybridMultilevel"/>
    <w:tmpl w:val="771E3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64C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51BAF"/>
    <w:multiLevelType w:val="hybridMultilevel"/>
    <w:tmpl w:val="7E6C6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3EEC"/>
    <w:multiLevelType w:val="hybridMultilevel"/>
    <w:tmpl w:val="D5501B70"/>
    <w:lvl w:ilvl="0" w:tplc="AAF4FF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65952"/>
    <w:multiLevelType w:val="hybridMultilevel"/>
    <w:tmpl w:val="D9728E6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A400704"/>
    <w:multiLevelType w:val="hybridMultilevel"/>
    <w:tmpl w:val="A9F2377E"/>
    <w:lvl w:ilvl="0" w:tplc="AAF4FF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270FC"/>
    <w:multiLevelType w:val="hybridMultilevel"/>
    <w:tmpl w:val="8E48FA88"/>
    <w:lvl w:ilvl="0" w:tplc="E83E1B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86095"/>
    <w:multiLevelType w:val="hybridMultilevel"/>
    <w:tmpl w:val="07629DE8"/>
    <w:lvl w:ilvl="0" w:tplc="AAF4FF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658B0"/>
    <w:multiLevelType w:val="hybridMultilevel"/>
    <w:tmpl w:val="257A3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26AC8"/>
    <w:multiLevelType w:val="hybridMultilevel"/>
    <w:tmpl w:val="7BC6B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93C5A"/>
    <w:multiLevelType w:val="hybridMultilevel"/>
    <w:tmpl w:val="FA6CA494"/>
    <w:lvl w:ilvl="0" w:tplc="AAF4FF82">
      <w:start w:val="1"/>
      <w:numFmt w:val="bullet"/>
      <w:lvlText w:val="-"/>
      <w:lvlJc w:val="left"/>
      <w:pPr>
        <w:ind w:left="7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76DF0844"/>
    <w:multiLevelType w:val="hybridMultilevel"/>
    <w:tmpl w:val="9F52A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F0"/>
    <w:rsid w:val="00005538"/>
    <w:rsid w:val="000104CE"/>
    <w:rsid w:val="000148A1"/>
    <w:rsid w:val="000161F5"/>
    <w:rsid w:val="00071288"/>
    <w:rsid w:val="00077A0B"/>
    <w:rsid w:val="0008045B"/>
    <w:rsid w:val="000C4EDE"/>
    <w:rsid w:val="00152285"/>
    <w:rsid w:val="001E75A2"/>
    <w:rsid w:val="00211F9A"/>
    <w:rsid w:val="00253721"/>
    <w:rsid w:val="002717C2"/>
    <w:rsid w:val="002C42EC"/>
    <w:rsid w:val="002E45AB"/>
    <w:rsid w:val="002E4AE9"/>
    <w:rsid w:val="002F4819"/>
    <w:rsid w:val="00307B2B"/>
    <w:rsid w:val="00320D3D"/>
    <w:rsid w:val="00330FBD"/>
    <w:rsid w:val="003360E2"/>
    <w:rsid w:val="00380AA3"/>
    <w:rsid w:val="003A0310"/>
    <w:rsid w:val="003B13B5"/>
    <w:rsid w:val="003C519A"/>
    <w:rsid w:val="003E097E"/>
    <w:rsid w:val="003F1B7E"/>
    <w:rsid w:val="00472AF6"/>
    <w:rsid w:val="00494864"/>
    <w:rsid w:val="004E45C4"/>
    <w:rsid w:val="004F7674"/>
    <w:rsid w:val="00567DDB"/>
    <w:rsid w:val="005D05DB"/>
    <w:rsid w:val="00600D6C"/>
    <w:rsid w:val="00615B0C"/>
    <w:rsid w:val="006200A3"/>
    <w:rsid w:val="00660FF4"/>
    <w:rsid w:val="0066170C"/>
    <w:rsid w:val="006A28F6"/>
    <w:rsid w:val="006A5F0D"/>
    <w:rsid w:val="006C174B"/>
    <w:rsid w:val="006D0A38"/>
    <w:rsid w:val="006D19BB"/>
    <w:rsid w:val="006E3B79"/>
    <w:rsid w:val="006F4490"/>
    <w:rsid w:val="006F7B1E"/>
    <w:rsid w:val="007538C8"/>
    <w:rsid w:val="007851AB"/>
    <w:rsid w:val="007E76F5"/>
    <w:rsid w:val="008130F1"/>
    <w:rsid w:val="008145BE"/>
    <w:rsid w:val="00821F9E"/>
    <w:rsid w:val="008772F4"/>
    <w:rsid w:val="008933FA"/>
    <w:rsid w:val="008A3546"/>
    <w:rsid w:val="008C2DA5"/>
    <w:rsid w:val="008F261F"/>
    <w:rsid w:val="009A30B5"/>
    <w:rsid w:val="009A4D2C"/>
    <w:rsid w:val="009E0FBF"/>
    <w:rsid w:val="009E669B"/>
    <w:rsid w:val="00A5473E"/>
    <w:rsid w:val="00A672C5"/>
    <w:rsid w:val="00AA1FFF"/>
    <w:rsid w:val="00B02752"/>
    <w:rsid w:val="00B02F84"/>
    <w:rsid w:val="00B13309"/>
    <w:rsid w:val="00B249C9"/>
    <w:rsid w:val="00B27C5F"/>
    <w:rsid w:val="00B86C1B"/>
    <w:rsid w:val="00BB717D"/>
    <w:rsid w:val="00BE3BF0"/>
    <w:rsid w:val="00C06205"/>
    <w:rsid w:val="00C14BEF"/>
    <w:rsid w:val="00C16E60"/>
    <w:rsid w:val="00C22BD1"/>
    <w:rsid w:val="00C4673E"/>
    <w:rsid w:val="00C5188F"/>
    <w:rsid w:val="00C568FA"/>
    <w:rsid w:val="00CE44B3"/>
    <w:rsid w:val="00CF3FBD"/>
    <w:rsid w:val="00D11A89"/>
    <w:rsid w:val="00D71768"/>
    <w:rsid w:val="00DE571E"/>
    <w:rsid w:val="00DF7BDD"/>
    <w:rsid w:val="00E24B23"/>
    <w:rsid w:val="00E56B97"/>
    <w:rsid w:val="00EE4813"/>
    <w:rsid w:val="00F454A7"/>
    <w:rsid w:val="00FA68D5"/>
    <w:rsid w:val="00FC0B80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3">
    <w:name w:val="Nagłówek #2 (3)_"/>
    <w:basedOn w:val="Domylnaczcionkaakapitu"/>
    <w:rsid w:val="00BE3BF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50"/>
      <w:sz w:val="26"/>
      <w:szCs w:val="26"/>
    </w:rPr>
  </w:style>
  <w:style w:type="character" w:customStyle="1" w:styleId="Nagwek230">
    <w:name w:val="Nagłówek #2 (3)"/>
    <w:basedOn w:val="Nagwek23"/>
    <w:rsid w:val="00BE3BF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50"/>
      <w:sz w:val="26"/>
      <w:szCs w:val="26"/>
    </w:rPr>
  </w:style>
  <w:style w:type="character" w:customStyle="1" w:styleId="Teksttreci10">
    <w:name w:val="Tekst treści (10)_"/>
    <w:basedOn w:val="Domylnaczcionkaakapitu"/>
    <w:rsid w:val="00BE3BF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100">
    <w:name w:val="Tekst treści (10)"/>
    <w:basedOn w:val="Teksttreci10"/>
    <w:rsid w:val="00BE3BF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BE3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3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BF0"/>
  </w:style>
  <w:style w:type="paragraph" w:styleId="Stopka">
    <w:name w:val="footer"/>
    <w:basedOn w:val="Normalny"/>
    <w:link w:val="StopkaZnak"/>
    <w:uiPriority w:val="99"/>
    <w:unhideWhenUsed/>
    <w:rsid w:val="00BE3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BF0"/>
  </w:style>
  <w:style w:type="paragraph" w:styleId="Tekstdymka">
    <w:name w:val="Balloon Text"/>
    <w:basedOn w:val="Normalny"/>
    <w:link w:val="TekstdymkaZnak"/>
    <w:uiPriority w:val="99"/>
    <w:semiHidden/>
    <w:unhideWhenUsed/>
    <w:rsid w:val="0089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3F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F0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1F9E"/>
    <w:pPr>
      <w:spacing w:before="100" w:beforeAutospacing="1" w:after="100" w:afterAutospacing="1" w:line="336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3">
    <w:name w:val="Nagłówek #2 (3)_"/>
    <w:basedOn w:val="Domylnaczcionkaakapitu"/>
    <w:rsid w:val="00BE3BF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50"/>
      <w:sz w:val="26"/>
      <w:szCs w:val="26"/>
    </w:rPr>
  </w:style>
  <w:style w:type="character" w:customStyle="1" w:styleId="Nagwek230">
    <w:name w:val="Nagłówek #2 (3)"/>
    <w:basedOn w:val="Nagwek23"/>
    <w:rsid w:val="00BE3BF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50"/>
      <w:sz w:val="26"/>
      <w:szCs w:val="26"/>
    </w:rPr>
  </w:style>
  <w:style w:type="character" w:customStyle="1" w:styleId="Teksttreci10">
    <w:name w:val="Tekst treści (10)_"/>
    <w:basedOn w:val="Domylnaczcionkaakapitu"/>
    <w:rsid w:val="00BE3BF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100">
    <w:name w:val="Tekst treści (10)"/>
    <w:basedOn w:val="Teksttreci10"/>
    <w:rsid w:val="00BE3BF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BE3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3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BF0"/>
  </w:style>
  <w:style w:type="paragraph" w:styleId="Stopka">
    <w:name w:val="footer"/>
    <w:basedOn w:val="Normalny"/>
    <w:link w:val="StopkaZnak"/>
    <w:uiPriority w:val="99"/>
    <w:unhideWhenUsed/>
    <w:rsid w:val="00BE3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BF0"/>
  </w:style>
  <w:style w:type="paragraph" w:styleId="Tekstdymka">
    <w:name w:val="Balloon Text"/>
    <w:basedOn w:val="Normalny"/>
    <w:link w:val="TekstdymkaZnak"/>
    <w:uiPriority w:val="99"/>
    <w:semiHidden/>
    <w:unhideWhenUsed/>
    <w:rsid w:val="0089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3F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F0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1F9E"/>
    <w:pPr>
      <w:spacing w:before="100" w:beforeAutospacing="1" w:after="100" w:afterAutospacing="1" w:line="336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29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KOSOWSKA, Ewa</dc:creator>
  <cp:lastModifiedBy>OWSIAK, Barbara</cp:lastModifiedBy>
  <cp:revision>3</cp:revision>
  <cp:lastPrinted>2016-08-12T13:11:00Z</cp:lastPrinted>
  <dcterms:created xsi:type="dcterms:W3CDTF">2016-08-12T13:30:00Z</dcterms:created>
  <dcterms:modified xsi:type="dcterms:W3CDTF">2016-08-12T13:31:00Z</dcterms:modified>
</cp:coreProperties>
</file>