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2826BA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2826BA">
              <w:rPr>
                <w:rFonts w:ascii="Segoe UI" w:hAnsi="Segoe UI" w:cs="Segoe UI"/>
                <w:sz w:val="24"/>
                <w:szCs w:val="24"/>
                <w:lang w:eastAsia="pl-PL"/>
              </w:rPr>
              <w:t>Świadczenia długoterminowe z tytułu niezdolności do pracy  – renta z tytułu niezdolności do pracy, świadczenie uzupełniające dla osób niezdolnych do samodzielnej egzystencji i renta socjalna wraz z dodatkiem dopełniającym oraz zbieg z rentą rodzinną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2826BA">
              <w:rPr>
                <w:b/>
                <w:noProof/>
                <w:lang w:eastAsia="pl-PL"/>
              </w:rPr>
              <w:t>16</w:t>
            </w:r>
            <w:r w:rsidR="0092452B">
              <w:rPr>
                <w:b/>
                <w:noProof/>
                <w:lang w:eastAsia="pl-PL"/>
              </w:rPr>
              <w:t>.04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  <w:bookmarkStart w:id="0" w:name="_GoBack"/>
            <w:bookmarkEnd w:id="0"/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2</cp:revision>
  <dcterms:created xsi:type="dcterms:W3CDTF">2025-03-25T13:38:00Z</dcterms:created>
  <dcterms:modified xsi:type="dcterms:W3CDTF">2025-03-25T13:38:00Z</dcterms:modified>
</cp:coreProperties>
</file>