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75682B" w:rsidRPr="0075682B">
        <w:rPr>
          <w:b/>
          <w:bCs/>
          <w:sz w:val="16"/>
          <w:szCs w:val="16"/>
        </w:rPr>
        <w:t>Kapitał początkowy. Zasady ustalania wysokości.  Wpływ na wysokość emerytury.</w:t>
      </w:r>
      <w:r w:rsidR="002379C7">
        <w:rPr>
          <w:b/>
          <w:bCs/>
          <w:sz w:val="16"/>
          <w:szCs w:val="16"/>
        </w:rPr>
        <w:t>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75682B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75682B" w:rsidRPr="0075682B">
        <w:rPr>
          <w:b/>
          <w:bCs/>
          <w:iCs/>
          <w:sz w:val="16"/>
          <w:szCs w:val="16"/>
        </w:rPr>
        <w:t>Kapitał początkowy. Zasady ustalania wysokości.  Wpływ na wysokość emerytury.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75682B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2024-07-24T07:58:00Z</dcterms:modified>
</cp:coreProperties>
</file>